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247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12474"/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2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сбора информации для определения (расчета)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и фактических значений целевых индикаторов государственной программы «Развитие здравоохранения Новосибирской области» на очередной 2023 год</w:t>
      </w:r>
      <w:r/>
    </w:p>
    <w:tbl>
      <w:tblPr>
        <w:tblpPr w:horzAnchor="margin" w:tblpXSpec="left" w:vertAnchor="text" w:tblpY="394" w:leftFromText="180" w:topFromText="0" w:rightFromText="180" w:bottomFromText="0"/>
        <w:tblW w:w="15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274"/>
        <w:gridCol w:w="1701"/>
        <w:gridCol w:w="5950"/>
        <w:gridCol w:w="3548"/>
      </w:tblGrid>
      <w:tr>
        <w:trPr/>
        <w:tc>
          <w:tcPr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целевого индикатора</w:t>
            </w:r>
            <w:r/>
          </w:p>
        </w:tc>
        <w:tc>
          <w:tcPr>
            <w:shd w:val="clear" w:color="auto" w:fill="auto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Периодичность сбора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временной характеристики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Методика расчета (плановы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 и фактических значений)</w:t>
            </w:r>
            <w:r/>
          </w:p>
        </w:tc>
        <w:tc>
          <w:tcPr>
            <w:shd w:val="clear" w:color="auto" w:fill="auto"/>
            <w:tcW w:w="35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получения данных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35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 Розничные продажи алкогольной продукции на душу населения (в литрах этанола), литров на душу населения в год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данных официальной статистической отчетности, сложившихся за отчетный период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Росалкогольрегулирование по СФО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 Распространённость потребления табака среди взрослого населения,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граждан, возрастной категории 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и старше, потребляющих табак (по данным медико-социологического исследования распространенности факторов риска развития хронических неинфекционных заболеваний у населения НСО) к общему количеству населения, участвовавшего в эпидемиологическом мониторин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 мероприятий 1.1.1 и 1.1.3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ГКУЗ НСО «РЦОЗ и МП»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 Смертность от всех причин, случаев на 1000 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07.05.2018 № 204 «О национальных целях и стратегических задачах развития Российской Федерации на период до 2024 года».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</w:t>
            </w:r>
            <w:r/>
          </w:p>
        </w:tc>
        <w:tc>
          <w:tcPr>
            <w:shd w:val="clear" w:color="auto" w:fill="auto"/>
            <w:tcW w:w="354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 Смертность населения трудоспособного возраста, случаев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</w:t>
            </w:r>
            <w:r/>
          </w:p>
        </w:tc>
        <w:tc>
          <w:tcPr>
            <w:shd w:val="clear" w:color="auto" w:fill="auto"/>
            <w:tcW w:w="3548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 Смертность от болезней системы кровообращения, случаев на 100 тыс. населения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 с учетом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регионального проекта «Борьба с сердечно-сосудистыми заболеваниями»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 Смертность от дорожно-транспортных происшествий, случаев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 Смертность от новообразований (в  том числе от злокачественных),  случаев на 100 тыс. населения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задачах развития Российской Федерации на период до 2024 года», а также в соответствии с региональным проектом «Борьба с онкологическими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внесении изменений в Программу плановые значения индикатора определяются с учетом сложившейся динам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 Доля лиц с онкологическими заболеваниями, прошедших обследование и/или лечение в текущем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году из числа состоящих под диспансерным наблюдением,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Борьба с онкологическими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рассчитываются как соотношение числа лиц с онкологическими заболеваниями, застрахованных в системе обязательного медицинского страхования, состоящих под диспансерным наблюдением в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етствии с порядком диспансерного наблюдения за взрослыми с онкологическими заболеваниями, утвержденным приказом Министерства здравоохранения Российской Федерации от 4 июня 2020 г. № 548н «Об утверждении порядка диспансерного наблюдения за взрослыми с онкол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огическими заболеваниями», и посетивших врача-онколога, прошедших обследование и/или лечение в отчетном периоде, к общему числу лиц с онкологическими заболеваниями, застрахованных в системе ОМС, состоящих под диспансерным наблюдением в соответствии с 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ком, на конец отчетного периода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государственной информационной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системы обязательного медицинского страхования</w:t>
            </w:r>
            <w:r/>
          </w:p>
        </w:tc>
      </w:tr>
      <w:tr>
        <w:trPr>
          <w:trHeight w:val="50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 Смертность от туберкулёза, случаев на 100 тыс. населения 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</w:t>
            </w:r>
            <w:r/>
          </w:p>
        </w:tc>
        <w:tc>
          <w:tcPr>
            <w:shd w:val="clear" w:color="auto" w:fill="auto"/>
            <w:tcW w:w="354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 Количество зарегистрированных больных с диагнозом, установленным впервые в жизни, - активный туберкулез, случаев на 100 тыс. населения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больных всеми формами активного туберкул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еза, с диагнозом, установленным впервые в жизни, к численности населения Новосибирской области на 1 января отчетного года, умноженное на 100 000.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 Подпрограммы 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8 «Сведения о заболеваниях активным туберкулезом», утвержденной приказом Росстата от 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.01.2009 № 12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 Ожидаемая продолжительность жизни при рождении, лет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сложившихся за отчетный период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 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ежегодно на основании решения комиссии по разработке ТП ОМС НСО.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объема финансирования негосударственных медицинских организаций, утв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ержденного государственным заданием в рамках реализации ТПГГ НСО на соответствующий год, к общему объему финансирования медицинских организаций, оказывающих амбулаторно – поликлиническую помощь, медицинскую помощь в рамках дневного и круглосуточных стацион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аров, участвующих в территориальной программе государственных гарантий бесплатного оказания гражданам медицинской помощи в Новосибирской области,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вного мероприятия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реестр медицинских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рганизаций, работающих в системе ОМС на территории НСО (по данным ТФОМС) на основании ТПГГ НСО, объем утвержденного финансирования определяется объемом финансового обеспечения, утвержденным  решения комиссии по разработке ТП ОМС НСО, на соответствующий год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 Материнская смертность (случаев на 100 тыс. родившихся живыми)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 сложившихся за отчетный период 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 Доля случаев оказания медицинской помощи по медицинской реабилитации в амбулаторных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оду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чения целевого индикатора определяются соответствии с региональной программой «Оптимальная для восстановления здоровья медицинская реабилитация в Новосибирской области», утвержденной постановлением Правительства Новосибирской области от 10.06.2022 № 264-п.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случаев оказания медицинской помощи по медицинской реабилитации в амбулаторных условиях к числу случаев, предусмотренных объемами оказания медицинской помощи по медицинской реабилитации за счет средств обя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зательного медицинского страхования в соответствующем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5.1.2., 5.1.4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пациентов, которым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роведены реабилитационные мероприятия после оказания специализированной медицинской помощи и о количестве нуждающихся, предоставляется медицинскими организациями, подведомственными Минздраву, определенных приказом Минздрава НСО от 01.11.2021 № 2858 «Об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19. </w:t>
            </w:r>
            <w:r>
              <w:rPr>
                <w:rFonts w:ascii="Arial" w:hAnsi="Arial" w:eastAsia="Arial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выездными патронажными бригадами паллиативной медицинской помощи, един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иц</w:t>
            </w:r>
            <w:r/>
          </w:p>
        </w:tc>
        <w:tc>
          <w:tcPr>
            <w:shd w:val="clear" w:color="auto" w:fill="auto"/>
            <w:tcW w:w="12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формируются в соответствии с региональной программой «Развитие системы оказания паллиативной медицинской помощи в Новосибирской области на 2020-2024 годы», утвержденной постановлением Правительства Новосибирс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области от 18.08.2020 № 343-п.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как: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выездных патронажных бригад, функционирующих на территории Новосибирской области;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выездных патронажных бригад на территории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осуществляющих выезды к пациентам старше 18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расчете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на 100 000 взрослого населения,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выездных патронажных бригад на территории Новосибирской области, осуществляющих выезды к пациентам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ям,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расчете на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 50 000 детей.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вого индикатора за отчетный период оказывает влияние реализация основного мероприятия 6.1.1 Программы</w:t>
            </w:r>
            <w:r/>
          </w:p>
        </w:tc>
        <w:tc>
          <w:tcPr>
            <w:shd w:val="clear" w:color="auto" w:fill="auto"/>
            <w:tcW w:w="35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выездных патронажных бригад предоставляется медицинскими организациями подведомственными Минздраву НСО, в ГБУЗ НСО «МИАЦ», согласн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форме мониторинга.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взрослого и детского населения в отчетном году представляется ТОФСГС по НСО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tcW w:w="32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взрослым, на 100 000 взрослых </w:t>
            </w:r>
            <w:r/>
          </w:p>
        </w:tc>
        <w:tc>
          <w:tcPr>
            <w:shd w:val="clear" w:color="auto" w:fill="auto"/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95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54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</w:tr>
      <w:tr>
        <w:trPr>
          <w:trHeight w:val="597"/>
        </w:trPr>
        <w:tc>
          <w:tcPr>
            <w:tcW w:w="32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детям, на 50 000 детей</w:t>
            </w:r>
            <w:r/>
          </w:p>
        </w:tc>
        <w:tc>
          <w:tcPr>
            <w:shd w:val="clear" w:color="auto" w:fill="auto"/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95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54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  <w:r/>
          </w:p>
        </w:tc>
      </w:tr>
      <w:tr>
        <w:trPr>
          <w:trHeight w:val="47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 Обеспеченность населения врачами, работающими в государственных и муниципальных медицинских организациях, на 10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медицинских организаций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сложившихся за отчетный период</w:t>
            </w:r>
            <w:r/>
          </w:p>
        </w:tc>
        <w:tc>
          <w:tcPr>
            <w:shd w:val="clear" w:color="auto" w:fill="auto"/>
            <w:tcW w:w="35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о медицинской организации», утвержденной приказом Росстата от 30.12.2020 № 863.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Сводные данные предоставляет ГБУЗ НСО «МИАЦ»</w:t>
            </w:r>
            <w:r/>
          </w:p>
        </w:tc>
      </w:tr>
      <w:tr>
        <w:trPr>
          <w:trHeight w:val="47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 Обеспеченность населения средними медицинскими работниками, работающими в государственных и муниципальных медицинских организациях, на 10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медицинских организаций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сложившихся за отчетный период</w:t>
            </w:r>
            <w:r/>
          </w:p>
        </w:tc>
        <w:tc>
          <w:tcPr>
            <w:shd w:val="clear" w:color="auto" w:fill="auto"/>
            <w:tcW w:w="354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47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 Обеспеченность населения врачами, оказывающими первичную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медико-санитарную помощь, на 10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медицинских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сложившихся за отчетный период</w:t>
            </w:r>
            <w:r/>
          </w:p>
        </w:tc>
        <w:tc>
          <w:tcPr>
            <w:shd w:val="clear" w:color="auto" w:fill="auto"/>
            <w:tcW w:w="354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 Доля выписанных рецептов для предусмотренных льготных категорий граж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дан, по которым лекарственные препараты отпущены, от общего количества выписанных рецептов,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значения целевого индикатора определяются на основе отчетности, предоставленной медицинскими организациями, работающими в системе льготного лекарственного обеспечения, сложившейся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рецептов для предусмотренных Программой льготных категорий граждан, по которым лекарственные препараты отпущены с начала отчетного года, к общему количеству выписанных рецептов с начала отчетног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года, выраженное в процентном соотношении.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8.1.1, 8.1.2, 8.1.4 и 8.1.5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информации, предоставленной медицинскими организациями, работающими в системе льготного лекарственного обеспечения</w:t>
            </w:r>
            <w:r/>
          </w:p>
        </w:tc>
      </w:tr>
      <w:tr>
        <w:trPr>
          <w:trHeight w:val="2312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 Доля государственных медицинских организаций, производящих обмен медицинской информацией в электронном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иде, от общего количества государственных медицинских организаций,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медицинских организаций, подведом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ственных Минздраву НСО, работающих в рамках ОМС, осуществляющих запись посредством Интернет или сенсорных терминалов, к общему количеству медицинских организаций, работающих в рамках ОМС, подведомственных Минздраву НСО, выраженное в процентном соотношении.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9.1.1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предоставляются Единой Государственной информационной системой здравоохранения Новосибирской области</w:t>
            </w:r>
            <w:r/>
          </w:p>
        </w:tc>
      </w:tr>
      <w:tr>
        <w:trPr>
          <w:trHeight w:val="4076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 Отношение средней зараб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 (с учетом Послания Президента Российской Федерации Федеральному Собранию от 01.03.2018 о сохран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ении достигнутого уровня заработной платы).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официальные данные представляются ТОФСГС по НСО,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данных является ежеквартальный мониторинг начисленной среднемесячной зар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аботной платы (в соответствии с приказом Росстата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повышению средней заработной платы в соответствии с Указом Президента Российской Федерации от 7 мая 2012 г. № 597 «О мероприятиях по реализации государственной социальной политики»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 Отношение средней заработной платы среднего медицинского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(фармацевти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овой деятельности) по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еляются на основании отчетности, сложившейся за последние 3 года, предшествующие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очередному году реализации Программы (с учетом Послания Президента Российской Федерации Федеральному Собранию от 01.03.2018 о сохранении достигнутого уровня заработной платы).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официальные данные представляются ТОФСГС по НСО,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данных является ежеквартальный мониторинг начисленной среднемесячной заработной платы (в соответствии с приказом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 Отношение средней заработной платы младшего медицинского персонала (персонала, обеспечивающего условия для предост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еляются на основании отчетности, сложившейся за последние 3 года, предшествующие очередному году реализации Программы (с учетом Послания Президента Российской Федерации Федеральному Собранию от 01.03.2018 о сохранении достигнутого уровня заработной платы).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официальные данные представляются ТОФСГС по НСО,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данных является ежеквартальный мониторинг начисленной среднемесячной заработной платы (в соответствии с приказом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Указом Президента Российской Федерации от 7 мая 2012 г. № 597 «О мероприятиях по реализации государственной социальной политики»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 Подушевой норматив финансирования за счет средств территориальной программы государственных гарантий бесплатног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оказания гражданам медицинской помощи в Новосибирской области, рубли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освоенных объём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(всего, включая расходы на обеспечение выполнения ТФОМС своих функций) к колич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еству лиц, застрахованных в системе обязательного медицинского страхования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Подпрограммы 11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 организациями, работающими в системе ОМС (статистическая форма № 62 «Сведения о ресурсном обеспечении и оказании медицинской помощи населению» (Приказ ФСГС от 30.12.2015 № 672)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 Младенческая смертность  (случаев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1000 родившихся живыми)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года, Указом Президента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сийской Федерации от 07.05.2018 № 204 «О национальных целях и стратегических задачах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развития Российской Федерации на период до 2024 года», и в соответствии с региональным проектом «Развитие детского здравоохранения, включая создание современной инфраструк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 Число посещений сельскими жителями медицинских организаций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на 1 сельского жителя в год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плановые значения 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Фактические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 1 января отчетного года/ на начало года, предшествующего отчетному году)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катора за отчетный период оказывает влияние реализация основного мероприятия 13.1.1 в 2021 году, 13.1.2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наблюдения № 30 «Сведения о медицинской организации», утвержденной приказом Росстата от 30.12.2020 № 863.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численности сельского населения представляется ТОФСГС по НСО.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33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1. Профилактика забо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леваний и формирование здорового образа жизни. Развитие первичной медико-санитарной помощи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33. Охват профилактическими медицинскими осмотрами детей,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оотношение числа детей, прошедших профилактический медицинский осмотр с начала отчетного года, к среднегодовой численности детей 0 - 17 лет на начало года, предшествующего отчетному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период оказывает влияние реализация основного мероприятия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среднегодовой численности детей 0-17 лет предоставляет ТОФСГС по НСО, информацию о количестве детей, прошедших профилактический медицинский осмотр, предоставляется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дицинскими организациями, подведомственными Минздраву НСО в ГБУЗ НСО «МИАЦ»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34. 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оотношение числа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защиты, прошедших диспансеризацию с начала отчетного года, к общему числу детей-сирот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детей, находящихся в трудной жизненной ситуации, пребывающих в стационарных учреждениях системы здравоохранения, образования и социальной защиты (в соответствии с план-графиком, сформированным на конец года, предшествующего отчетному), выраженное в 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11.1.1 Программы 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числе детей-сирот и детей,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ситуации, предоставляют медицинские организации, подведомственные Минздраву НСО, информацию о количестве детей-сирот и детей, находящихся в трудной жизненной ситуации, прошедших диспансеризацию предоставляет ГБУЗ НСО «МИАЦ»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 Доля граждан, ежегодно проходящих профилактический медицинский осмотр и(или)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диспансеризацию, от общего числа населения,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ональным проектом «Развитие системы оказания первичной медико-санитарной помощи».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граждан, ежегодно проходящих профилактический медицинский осмотр и(или) диспансеризацию, к общему числу жителей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овосибирской области на 1 января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1.1.3 и 11.1.1 Программы 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данных является еженедельный мониторинг дис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пансеризации определенных групп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взрослого населения ГКУЗ НСО «РЦОЗ и МП».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численности населения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 Охват граждан старше трудоспособного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профилактическими осмотрами, включая диспансеризацию,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«Старшее поколение».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числа лиц старше трудоспособного возраста, прошедших профилактический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осмотр, включая диспансеризацию, к среднегодовой численности лиц старше трудоспособного возраста в отчетном периоде,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1.1.3 и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.1.1 Программы 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для расчета Показателя с ежегодной периодичностью являются данные федерального статистического наблюдения по форме № 30 «Сведения о медицинской организации», утвержденной приказом Росстата от 30.12.2020 № 863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информации о среднегодовой численности населения по возрасту является Федеральная служба государственной статистики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 Доля лиц старше трудоспособного возраста, у которых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выявлены заболевания и патологические состояния,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находящихся под диспансерным наблюдением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«Старшее поколение».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 соотношение числа лиц старше трудоспосо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бного возраста, у которых выявлены заболевания и патологические состояния, находящихся под диспансерным наблюдением, и числа лиц старше трудоспособного возраста, у которых выявлены заболевания и патологические состояния, в отчетном периоде (в процентах).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достижение целевого индикатора за отчетный период оказывает влияние реализация основного мероприятия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являются данные федерального статистического наблюдения по форме № 12 «Сведения о числе заболеваний, зарегистрированных у пациентов, проживающих в районе обслуживания медицинской организации», утвержденной приказом Росстата от 27.12.2022 № 985.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 Доля злокачественных новообразований, выявленных на I-II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стадиях,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Борьба с онкологическими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больных злокачественными новообразованиями, выявленных на I и II стадиях заболевания за отчетный период, к общему числу больных злокачественными новообразованиями, впервые взятых на учёт в текуще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Подпрограммы 2, 10 и 11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на основании формы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едерального государственного статистического наблюдения № 7 «Сведения о злокачественных новообразованиях»,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приказом Росстата от 27.12.2022 № 985.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Сводные данные предоставляет ГБУЗ НСО «НОКОД»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49. Охват населения профилактическими осмотрами на туберкулёз,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дове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социально-значимыми инфекционными заболеваниями от 27.12.2022 № 056-0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9-2022-336/2. Фактические значения определяются как отношение количества человек, охваченных профилактическими осмотрами на туберкулез с начала отчетного года, к общему числу жителей Новосибирской области на 1 января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 Подпрограммы 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на основании формы федерального государственного статистиче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наблюдения № 30 «Сведения о медицинской организации», утвержденной приказом Росстата от 30.12.2020 № 863.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Сводные данные предоставляет ГБУЗ НСО «МИАЦ»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 Смертность от самоубийств,  случаев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основе показателей официальной статистической отчетности, сложившихся за последние 5 лет,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данными официальной статистической отчетности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 Число больных наркоманией, находящихся в ремиссии от 1 года до 2 лет (на 100 наркологических больных среднегодового контингента),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рассчитываются как отношение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больных наркоманией, находящихся в ремиссии от 1 года до 2 лет на конец отчетного периода, к числу больных среднегодового контингента больных наркоманией, состоящих на учете, умноженное на 100.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 Подпрограммы 1 и 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в ГБУЗ НСО «НОКНД» в соответствии с формой № 37 Федераль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 статистического наблюдения «Сведения о пациентах, больных алкоголизмом, наркоманиями, токсикоманиями», утвержденной Приказом Росстата от 16.10.2013 № 410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57. Число больных алкоголизмом, находящихся в ремиссии от 1 года до 2 лет  (на 100 больных алког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олизмом среднегодового контингента),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основе показателей статистической отчетности, сложившихся за 5 лет, предшествующих году начала реализации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граммы. При внесении изменений в Программу плановые значения индикатора определяются с учетом сложившейся динамики за последние 3 года, предшествующих очередному году реализации Программы, с учетом запланированного объема финансирования мероприятий Програм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рассчитываются как отношение числа больных алкоголизмом, находящихся в ремиссии от 1 года до 2 лет на конец отчетного периода, к числу больных алкоголизмом среднегодового контингента, состоящих на учете, умноженное на 100.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жение целевого индикатора за отчетный период оказывает влияние реализация мероприятий  Подпрограммы 1 и 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в ГБУЗ НСО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«НОКНД» в соответствии с формой № 37 Федерального статистического наблюдения «Сведения о пациентах, больных алкоголизмом, наркоманиями, токсикоманиями», утвержденной Приказом Росстата от 16.10.2013 № 410. Свод в Минздрав НСО предоставляет ГБУЗ НСО «НОКНД»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59. Заболеваемость дифтерией,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 влияние реализация основного мероприятия 1.3.4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60. Заболеваемость корью, на 1 млн.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реализация основных мероприятий 1.3.1 и 1.3.4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61. Заболеваемость краснухой,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влияние реализация основного мероприятия 1.3.1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62. Заболеваемость эпидемическим паротитом,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 влияние реализация основного мероприятия 1.3.4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67. Охват декретированных групп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профилактическими прививками в рамках национального календаря профилактических прививок,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в соответствии с Постановлением Главного государственного санитарного врача Российской Федерации от 28.01.2021 № 4 «Об утверждении санитарных правил и норм СанПиН 3.3686-21 «Санитарно-эпидемиологические требования по профилактике инфекционных болезней».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лиц, получивших вакцинацию в отчетном году, от числа лиц, подлежащих вакцинации в отчетном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основных мероприятий Задачи 1.3. Подпрограммы 1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подведомственными Минздраву НСО медицинскими организациями на основании формы федерального государственного статистического наблюдения № 6 «Сведения о контингентах детей и взросл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ых, привитых против инфекционных заболеваний», утвержденной приказом Росстата от 07.12.2022 № 911 "Об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потребителей и благополучия человека федерального статистического наблюдения за контингентами детей и взрослых, привитых против инфекционных заболеваний»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68. Охват граждан старше трудоспособного возраста из групп риска, проживающих в организациях социал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ьного обслуживания, вакцинацией против пневмококковой инфекции,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Старшее поколение».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лиц, старше трудоспособного возраста из групп риска, проживающих в организациях социального обслуживания, привитых против пневмококковой инфекции, к количеству лиц, старше трудоспособного возраста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групп риска, проживающих в организациях социального обслуживания.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целевого индикатора учитываются организации социального обслуживания, включенные в приказ министерства здравоохранения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области и министерства труда и социального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Новосибирской области от 24.12.2022 № 4024/1842 «Об организации вакцинации в 2023 году против пневмококковой инфекции лиц старше трудоспособного возраста из групп риска, проживающих в стационарных организациях социального обслуживания Новосибирск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области».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основного мероприятия 1.3.3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подведомственными Минздраву НСО медицинскими организациями, ответственными за проведение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 от 24.12.2022 № 4024/1842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вакцинации в 2023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 против пневмококковой инфекции лиц старше трудоспособного возраста из групп риска, проживающих в стационарных организациях социального обслуживания Новосибирской области»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70. Заболеваемость острым вирусным гепатитом В, на 100 тыс. населения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 влияние реализация основных мероприятий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.1, 1.4.2, 2.3.1.2. 2.3.2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72. Доля лиц с ВИЧ-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инфекцией, сведения о которых внесены в Федеральный регистр лиц, инфицированных вирусом иммунодефицита человека, в общем числе лиц с ВИЧ-инфекцией,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формируются в соответствии с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стратегией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-инфицированных лиц, сведения о которых внесены в Федеральный регистр лиц, инфицированных вирусом иммунодефицита человека, к общему числу выявленных с ВИЧ-инфекцией (без умерших, выбывших) в Новосибирской области за отчетный период,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2.3.1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 НСО «ГИКБ № 1»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73. Уро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вень информированности населения в возрасте 18-49 лет по вопросам ВИЧ-инфекции,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доведены Минздравом России в соответствии с соглашением о предоставлении субсидии бюджету Новосибирской облас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из федерального бюджета на реализацию мероприятий по предупреждению и борьбе с социально-значимыми инфекционными заболеваниями от 27.12.2022 № 056-09-2022-336/2. 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лиц в возрасте 18-49 лет, информированных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ВИЧ-инфекции, к числу лиц 18-49 лет, зарегистрированных на территории Новосибирской области на 1 января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тий 1.4.2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 НСО «ГИКБ № 1»</w:t>
            </w:r>
            <w:r/>
          </w:p>
        </w:tc>
      </w:tr>
      <w:tr>
        <w:trPr>
          <w:trHeight w:val="333"/>
        </w:trPr>
        <w:tc>
          <w:tcPr>
            <w:gridSpan w:val="5"/>
            <w:shd w:val="clear" w:color="auto" w:fill="auto"/>
            <w:tcW w:w="15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 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состоящих под диспансерным наблюдением,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начения целевого индикатора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Борьба с онкологическими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больных злокачественными новообразованиями, состоящих на учете с момента 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ановления диагноза 5 лет и более, к общему числу больных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злокачественными новообразованиями, состоящих на учете на конец отчетного периода,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 Подпрограммы 2 и 11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№ 7 «Сведения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злокачественных новообразованиях», утвержденной приказо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Росстата от 27.12.2022 № 985.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«НОКОД»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75. 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наблюдение в предыдущем году),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Борьба с онкологическими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умерших от злокачественных новообразований 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года с момента установления диагноза, к общему числу больных злокачественными новообразованиями, впервые взятых на учёт в предыдущем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Подпрограммы 2 и 11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№ 7 «Сведения о злокачественных новообразованиях», утвержденной приказом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Росстата от 27.12.2022 № 985.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«НОКОД»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76. Доля абациллированных больных туберкулёзом от числа больных туберкулёзом с бактериовыделением,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абациллированных больных туберкулезом на конец 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тного периода, к общему числу больных туберкулезом с бактериовыделением,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 Подпрограммы 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суммируется по данным подведомственных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Минздраву НСО медицинских организации по форме № 33 «Сведения о больных туберкулёзом», утвержденной приказом Росстата от 31.12.2010 № 483.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«НОКПТД»</w:t>
            </w:r>
            <w:r/>
          </w:p>
        </w:tc>
      </w:tr>
      <w:tr>
        <w:trPr>
          <w:trHeight w:val="422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78. 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ВИЧ-инфекцией, получающих антиретровирусную терапию, в общем числе лиц с ВИЧ-инфекцией, сведения о которых внесены в Федеральный регистр лиц, инфицированных вирусом иммунодефицита человек 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Программы, с учетом Государственной стратегии 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ВИЧ-инфицированных лиц,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получающих антиретровирусную терапию на конец отчетного периода, к общему числу ВИЧ-инфицированных, состоящих на диспансерном учёте на конец отчетного периода, выраженное в процентах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основного мероприятия 2.3.1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информация предоставляется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ГБУЗ НСО «ГИКБ № 1»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81. Охват медицинским освидетельствованием на ВИЧ-инфекцию населения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социально-значимыми инфекционными заболеваниями от 27.12.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 № 056-09-2022-336/2, с учетом в соответствии с Государственной стратегией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лиц, прошедших медицинское освидетельствование на ВИЧ-инфекцию, к численности населения Новосибирской области на 1 января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 оказывает влияние реализация основных мероприятий 1.4.2, 2.3.1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 НСО «ГИКБ № 1»</w:t>
            </w:r>
            <w:r/>
          </w:p>
        </w:tc>
      </w:tr>
      <w:tr>
        <w:trPr>
          <w:trHeight w:val="1876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82. Доля больных психическими расстройствами, повторно госпитализированных в течение года,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больных психическими расстройствами, повторно госпитализированных в течение года, к общему количеству больных психическими расстройствами,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ндикатора за отчетный период оказывает влияние реализация мероприятий 2 Подпрограммы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организациями, на основании формы федерального государственного статистического наблюдения № 36, 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вержденной приказом Росстата от 13.08.2009 № 171.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 ГБУЗ НСО «МИАЦ»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87. 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«Борьба с сердечно-сосудистыми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соотношение числа лиц с болезнями системы кровообраще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ния, застрахованных в системе обязательного медицинского страхования, состоящих под диспансерным наблюдением в соответствии с порядком диспансерного наблюдения за взрослыми, утвержденным приказом Министерства здравоохранения Российской Федерации от 29.03.2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019 № 173н «Об утверждении порядка проведения диспансерного наблюдения за взрослыми», и посетивших врача-терапевта, врача-кардиолога, врача-невролога и получивших медицинские услуги в рамках диспансерного наблюдения в отчетном периоде, к общему числу лиц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болезнями системы кровообращения, застрахованных в системе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обязательного медицинского страхования, состоящих под диспансерным наблюдением в соответствии с порядком, на конец отчетного периода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государственной информац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ионной системы обязательного медицинского страхования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88. Доля лиц, которые перенесли острое нарушение мозгового кровообращения, инфаркт миокарда, а также которым был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«Борьба с сердечно-сосудистыми заболеваниями».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 как соотношение числа взрослых пациентов (18 лет и более),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артерий со стентированием и катетерная абляция по поводу сердечно-сосудистых заболеваний, находившихся в отчетном периоде под диспансерным наблюдением и бесплатно получавших необходимые лекарственные препараты в амбулаторных условиях, за исключением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«О государственной социальной помощи», к числу взрослых пациентов, находившихся в отчетном периоде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диспансерным наблюдением по поводу перенесенного острого нарушения мозгового кровообращения, инфаркта миокарда, а также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которым были выполнены аортокоронарное шунтирование, ангиопластика коронарных артерий со стентированием и катетерная абляция по пов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оду сердечно-сосудистых заболеваний, за исключением лиц, имеющих право на социальную помощь.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мероприятия 2.5.2.2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автоматизиров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анной системы мониторинга медицинской статистики Министерства здравоохранения Российской Федерации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90. Доля выездов бригад скорой медицинской помощи в экстренной форме со временем доезда до пациента менее 20 минут,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плановые значения формируются на основании отчетности, сложившейся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выездов бригад скорой медицинской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ощи в экстренной форме со временем доезда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видов, форм и условий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доставления медицинской помощи, оказание которой осуществляется бесплатно, устанавливается территориальной программой государственных гарантий бесплатного оказания гражданам медицинской помощи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тчетный период оказывает влияние реализация основных мероприятий 2.11.1,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центральными районными (городскими) больницами Новосибирской области и станцией скорой медицинской помощи г. Новосибирска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91. Число лиц (пациентов), дополнительно эвакуированных с использованием санитарной авиации,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системы оказания первичной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дико-санитарной помощи».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количество пациентов, эвакуация которых выполнена за счет средств субсидии, по соглашению от 29.12.2022 № 056-09-2023-340.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году в рамках основного мероприятия 2.6.4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организациями, на основании учетной формы № 110-у «Карта вызова скорой медицинской помощь», утвержденной приказом Министерства 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равоохранения и социального развития Российской Федерации от 02.12.2009 № 942.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 30.12.2020 № 863.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92. Больничная летальность пострадавших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результате дорожно-транспортных происшествий, %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 за отчетный период оказывает влияние реализация основного мероприятия 2.7.1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госпитальных летальных случаев пострадавших в ДТП предоставляется медицинскими организациями, подведомственными Минздраву НСО, информация о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ичестве пострадавших в результате ДТП  предоставляется ГБУЗ НСО «МИАЦ» (на основании приказа Минздрава НСО от 14.08.2013 № 2772 «О помесячном мониторинге показателей  по сокращению смертности и травматизма от внешних причин»)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93. Доля детей до 18 лет, бол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ьных сахарным диабетом, с установленными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инсулиновыми помпами, обеспеченных расходными материалами для инсулиновых помп (от нуждающихся),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Фактические значения определяются как 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тношение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eastAsia="ru-RU"/>
              </w:rPr>
              <w:t xml:space="preserve">числа детей до 18 лет, больных сахарным диабетом, с установленными инсулиновыми помпами, обеспеченных расходными материалами для инсулиновых помп, к общему числу детей до 18 лет, больных сахарным диабетом, с установленными инсулиновыми помпами, ну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eastAsia="ru-RU"/>
              </w:rPr>
              <w:t xml:space="preserve">ждающихся в обеспечении расходными материалами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основного мероприятия 2.8.1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ГБУЗ НСО «ГКБ №1»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94. 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граждан, получивших льготную медицинскую помощь по зубопротезированию, глазному протезированию, слухопротезированию (ежегодно),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с учетом потребности населения в льготной медицинской помощи по зубопротезированию, глазному протезированию и в соответствии с запланированными объемами финансирования.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 количество пациентов, которым проведено льготное зубопротезирование, глазное протезирование, слухопротезирование, за отчетный период (за исключением лечения детей в возрасте до 3-х лет с множественным осложненным кариесом, а также детей с ограниченными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возможностями и врожденными расщелинами губ и неба).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мероприятия 2.8.2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пациентах, которым  проведено льготное зубопротезирование, глазо/ слухопрот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езирование суммируется по данным медицинских организаций, подведомственных Минздраву НСО   и ГБУЗ НСО «МИАЦ» 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96. Количество пациентов, которым оказана высокотехнологичная медицинская помощь, не включенная в базовую программу обязательного медицинского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рахования,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ибирской области из федерального бюджета в целях софинансирования расходных обязательств,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от 27.12.2022 № 056-09-2020-056/6.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количество пациентов, которым оказана высокотехнологичная медицинская помощь,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включенная в базовую программу обязательного медицинского страхования, за отчетный период.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работ в отчетном году в рамках основных  мероприятия 2.9.1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информации медицинских организаций, подведомственных Минздраву НСО, размещаемой в подсистеме мониторинга реализации государственного задания по оказанию высокотехнологичной медицинской помощи информационно-аналитической системы Минздрава России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97. 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оля трансплантированных органов в числе заготовленных органов для трансплантации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ансферта, имеющего целевое назначение по осуществлению медицинской деятельности, связанной с донорством органов человека в целях трансплантации (пересадки) от 27.12.2022 № 056-17-2020-022/5.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трансплантированных органов к числу заготовленных органов для трансплантации,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тия 2.9.1.2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подведомственными Минздраву НСО медицинскими организациями.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98. Доля станций переливания крови, обеспечивающих современный уровень качества и безопасности донорской 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ови и ее компонентов,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в соответствии с постановлением Правительства Российской Федерации от 22.06.2019 № 797 «Об утверждении Правил заготовки, хранения, транспортировки и клини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ческого использования донорской крови и ее компонентов и о признании утратившими силу некоторых актов Правительства Российской Федерации».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ношение количества учреждений, занимающихся заготовкой донорской крови, обеспечивающих современный уровень качества и безопасности компонентов донорской крови, к общему количеству учреждений, занимающихся заготовкой донорской крови,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2.10.1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организациями, подведомственными Минздраву НСО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 Новосибирский клинический 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нтр крови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99. Процент исполнения объемов государственного задания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ежегодно постановлением Правительства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 отношение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выполненных объемов государственного задания государственных учреждений, подведомственных Минздраву НСО, за отчетный период к плановому объему государственного задания государственных учреждений, подведомственных Минздраву НСО, выраженное в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2.11.1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медицинских организаций в системе «БАРС.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-Своды» (форма Гос.задание), годовая отчётная форма № 62 «Сведения о ресурсном обеспечении и оказании медицинской помощи населению» (Приказ ФСГС от 30.12.2015 № 672)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100. Охват лекарственным обеспечением лиц, больных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тношение числа лиц,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больных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гемолитико-уремическим синдромом, юношеским артритом 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обеспеченных лекарстве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нными препаратами, к числу лиц, включенных в Федеральный регистр лиц, больных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ции органов и (или) тканей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мероприятия 8.1.2.3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ведомственная информация Минздрава НСО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3. Развитие государственно-частного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артнерства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101. Количество заключенных концессионных соглашений и соглашений о государственно-частном партнерстве в отношении объектов здравоохранения, единица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плановые значения целевого индикатора определяются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заявок на заключение концессионных соглашений и соглашений о государственно-частном партнерстве в отношении объектов здравоохранения, а также на основании потребности в реализации инфраструкту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рных проектов, с учетом запланированного объема финансирования.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заключенных концессионных соглашений и соглашений о государственно-частном партнерстве в отношении объектов здравоохранения в отчетном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риоде.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Программы 3, в том числе оказывает влияние на достижение целевого индикатора за отчетный период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предоставляются Минздравом НСО</w:t>
            </w:r>
            <w:r/>
          </w:p>
        </w:tc>
      </w:tr>
      <w:tr>
        <w:trPr>
          <w:trHeight w:val="33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4. Охрана здоровья матери и ребенка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102. Доля обследованных беременных женщин в первом триместре по алгоритму комплексной пренатальной (дородовой) диагностики нарушений развития ребенка от числа поставленных на учет в первый триместр беременности,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четного периода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пределяются как отношение количества обследованных беременных женщин по новому алгоритму проведения комплексной пренатальной (дородовой) диагностики нарушений развития ребенка с начала отчетного года, к общему количеству женщин, поставленных на учет в перв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триместр беременности,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ГБУЗ НСО «КЦОЗСиР»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103. Доля преждевременных родов (22-37 недель) в перинатальных центрах,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детского здравоохранения, включая создание современной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нфраструктуры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женщин с преждевременными родами, родоразрешенных в перинатальных центрах, ко всем преждевременным родам на территории Новосибирской области, выраж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Задачи 4.1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женщин, родоразрешенных в перинатальных центрах с преждевременными родами, предоставляется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дицинскими организациями, подведомственными Минздраву НСО, в ГБУЗ НСО «МИАЦ , согласно форме федерального статистического наблюдения № 32 «Сведения о медицинской помощи беременным роженицам и родильницам», утвержденной приказом Росстата от 31.12.2020 № 876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104. Число абортов, количество на 1000 женщин в возрасте 15-49 лет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абортов, выполненных женщинам Новосибирской области в текущем году, к числу женщин (на 1 января отчетного года/ на начало года, предшествующего отчетному году) в возрасте 15-49 лет, умноженное на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Задачи 4.1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женщин, прервавших беременность, предоставляется медицинскими организациями, подведомственными Минздраву 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О, на основании годовой формы федерального статистического наблюдения № 13 «Сведения о прерывании беременности (в сроки до 22 недель)»,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приказом Росстата от 31.12.2020 № 876.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о количестве женщин в возрасте 15-49 лет предоставляются ТОФСГС по НСО по состоянию на 1 января отчетного года 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105. Охват неонатальным скринингом (доля новорожденных, обследованных на наследственные заболевания, от общего числа новорожденных),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тношение количества обследованных новорожденных при проведении неонатального скрининга с начала отчетного года, к общему числу родившихся детей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влияние реализация мероприятий Задачи 4.2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обследованных новорожденных при проведении неонатального скрининга предоставляется медицинскими организациями в ГБУЗ НСО «МИАЦ» и в ГБУЗ НСО «КЦОЗСиР» (за 6 мес.);  согласно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орме федерального статистического наблюдения № 32 «Сведения о медицинской помощи беременным роженицам и родильницам», утвержденной приказом Росстата от 31.12.2020 № 876 (годовая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106.Доля новорожденных, обследованных на врожденные и (или) наследственные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болевания, от общего числа новорожденных, родившихся живыми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ачения индикатора определяются в соответствии с региональной программой Новосибирской области «Обеспечение расширенного неонатального скрининга в Новосибирской области», утвержденной постановлением Правительства Новосибирской области от 21.12.2022 № 611-п.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новорожденных, обследованных на врожденные и (или) наследственные заболевания, от общего числа новорожденных, родившихся живыми,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период оказывает влияние реализация мероприятия 4.2.2.2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обследованных новорожденных при проведении расширенного неонатального скрининга предоставляется медицинскими организациями Новосибирской области в ГБУЗ НСО «МИАЦ» и в ГБУЗ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«КЦОЗСиР» (за 6 мес.); согласно форме федерального статистического наблюдения № 12 «Сведения о числе заболеваний, зарегистрированных у пациентов, проживающих в районе обслуживания медицинской организации»,  утвержденной приказом Росстата от 27.12.2022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985 (годовая)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107. Охват аудиологическим скринингом (доля новорожденных, обследованных на аудиологический скрининг от общего числа новорожденных),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полугодовая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(6 месяцев,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год)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тношение количества обследованных новорожденных при проведении аудиологического скрининга, с начала отчетного года, к общему числу родившихся детей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ает влияние реализация мероприятий Задачи 4.2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обследованных новорожденных при проведении аудиологического скрининга предоставляется медицинскими организациями» в ГБУЗ НСО «МИАЦ» и в ГБУЗ НСО «ГКП № 7» (за 6 мес.); сог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ласно форме федерального статистического наблюдения № 32 «Сведения о медицинской помощи беременным роженицам и родильницам», утвержденной приказом Росстата от 31.12.2020 № 876 (и годовая)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108. Показатель ранней неонатальной смертности, количество на 1000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родившихся живыми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умерших в раннем неонатальном периоде (в первые 168 часов) с начала отчетного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года к количеству родившимся живыми, с начала отчетного года, умноженное на 1000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период оказывает влияние реализация мероприятий Задачи 4.2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умерших в раннем неонатальном периоде (в первые 168 часов) и числе живорожденных предоставляется медицинскими организациями, подведомственными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Минздраву 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О, в  ГБУЗ НСО «МИАЦ на основании формы федерального статистического наблюдения </w:t>
            </w:r>
            <w:hyperlink r:id="rId11" w:tooltip="consultantplus://offline/ref=52C1F8783F0745144C37E5CA11CDFD0956F0C7094435C37AD58429F769283BA64DE2CEB75E0E2045ZFQ0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№32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медицинской помощи беременным, роженицам и родильницам», утвержденной приказом Росстата от 31.12.2020 № 876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ТОФСГС по НСО</w:t>
            </w:r>
            <w:r/>
          </w:p>
        </w:tc>
      </w:tr>
      <w:tr>
        <w:trPr>
          <w:trHeight w:val="96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 Смертност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детей в возрасте 0-17 лет, случаев на 100 тыс. населения соответствующего возраста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числа детей умерших в возрасте 0 - 17 лет к населению соответствующего возраста в среднегодовом выражении и умноженное на 100 000.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ТОФСГС по НСО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110. Выживаемость детей, имевших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выжи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вших детей с очень низкой и экстремально низкой массой тела при рождении (менее 1499 г.) в акушерском стационаре, к числу новорожденных, родившихся с очень низкой и экстремально низкой массой тела в акушерском стационаре,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целевого индикатора за отчетный период оказывает влияние реализация мероприятий Задачи 4.2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родившихся и выживших  детей с очень низкой и экстремально низкой массой тела  предоставляется медицинскими организациями,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подведомственными Минздраву НСО, в ГБУЗ НСО «МИАЦ на основании формы федерального статистического наблюдения </w:t>
            </w:r>
            <w:hyperlink r:id="rId12" w:tooltip="consultantplus://offline/ref=52C1F8783F0745144C37E5CA11CDFD0956F0C7094435C37AD58429F769283BA64DE2CEB75E0E2045ZFQ0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№ 32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медицинской помощи беременным, роженицам и родильницам», утвержденной приказом Росстата от 31.12.2020 № 876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 Больничная летальность детей (доля умерших детей от числа поступивших в медицинские организации),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умерших детей 0-17 лет в медицинских организациях с начала отчетного года, к числу выбывших детей (выписанны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е+умершие) с начала отчетного года,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Задачи 4.2 Подпрограммы 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организациями, подведомственными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здраву НСО, в  ГБУЗ НСО «МИАЦ» на основании формы федерального статистического наблюдения </w:t>
            </w:r>
            <w:hyperlink r:id="rId13" w:tooltip="consultantplus://offline/ref=6A7F7007A2E8D48754D91F38A3BE99FFECE38C0A8E7A53C39BCDF743FAB27A3E95EAC9345F9F8458J9X5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№ 14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подразделений медицинской организации, оказывающих медицинскую помощь в стационарных условиях», утвержденной приказом Росстата от 18.12.2020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 812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112. Первичная инвалидность у детей, число детей, которым впервые установлена инвалидность (на 10 тыс. детей соответствующего возраста) 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числа детей в возрасте 0 - 17 лет, детей с впервые установл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енной инвалидностью в текущем году к численности детей 0-17 лет в среднегодовом выражении и умножается на 10 000.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численности детей 0-17 лет по состоянию на 1 января отчетного года, предоставляется ТОФСГС по НСО, информация о числе детей с впе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рвые установленной инвалидностью в текущем году,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организациями, подведомственными Минздраву НСО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ГБУЗ НСО «МИАЦ», на основании формы федерального статистического наблюдения </w:t>
            </w:r>
            <w:hyperlink r:id="rId14" w:tooltip="consultantplus://offline/ref=6A7F7007A2E8D48754D91F38A3BE99FFECE38C0A8E7A53C39BCDF743FAB27A3E95EAC9345F9F8458J9X5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№ 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«Сведения о детях-инвалидах», утвержденной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Росстата от 27.12.2016 № 866</w:t>
            </w:r>
            <w:r/>
          </w:p>
        </w:tc>
      </w:tr>
      <w:tr>
        <w:trPr>
          <w:trHeight w:val="416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113. Охват пар «мать – дитя»  химиопрофилактикой в соответствии с действующими стандартами оказания медицинской помощи,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пар «мать – дитя», получивших химиопрофилактику в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ответствии с действующими стандартами, к общему числу детей, рожденных от ВИЧ инфицированных матерей,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2.3.1.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ГБУЗ НСО «ГИКБ № 1» на основании статистической формы № 309/У «Извещение о новорожденном, рожденном ВИЧ-инфицированной матерью», утвержденной приказом  Минздрава России от 16.09.2003 № 442</w:t>
            </w:r>
            <w:r/>
          </w:p>
        </w:tc>
      </w:tr>
      <w:tr>
        <w:trPr>
          <w:trHeight w:val="41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5. Развитие медицинской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абилитации и санаторно-курортного лечения, в том числе детей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114. Охват санаторно-курортным лечением детей,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ередному году реализации Программы, с учетом запланированного объема финансирования мероприятий государственной программой Российской Федерации «Развитие здравоохранения», утвержденной постановлением Правительства Российской Федерации от 26.12.2017 № 1640.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детей, получивших санаторно-курортное лечение в санаториях, подведомственных Минздраву России, к числу детей, нуждающихся в санаторно-курортном лечении,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индикатора за отчетный период оказывает влияние реализация основного мероприятия 5.1.1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детях, нуждающихся в санаторно-курортном лечении, предоставляется подведомственными Минздраву НСО медицинскими организациями. Количество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получивших санаторно-курортное лечение в санаториях, по данным информационного портала  Минздрава России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115. Охват реабилитационной медицинской помощью детей-инвалидов от числа нуждающихся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оотношение количества детей-инвалидов, у которых в отчетном периоде выполнена индивидуальная программа реабилитации (полностью, частично или начата), к числу детей-инвалидов, прошедших диспансеризацию и профилактические осмотры в отчетном периоде, выраженн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5.1.2 , 5.1.4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количестве детей-инвалидов, у которых в отчетном периоде выполнена (полностью, частично или начата)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программа реабилитации, и числе детей-инвалидов, прошедших диспансеризацию и профилактические медицинские осмотры, предоставляется ГБУЗ НСО "МИАЦ" (отчетная форма № 030-Д/с/о-13, утвержденная приказом Минздрава России от 15.02.2013 № 72н,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тчетная форма № 030-ПО/о-17, утвержденная приказом Минздрава России от 10.08.2017 № 514н)</w:t>
            </w:r>
            <w:r/>
          </w:p>
        </w:tc>
      </w:tr>
      <w:tr>
        <w:trPr>
          <w:trHeight w:val="41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6. Оказание паллиативной медицинской помощи, в том числе детям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 Доля пациентов, получивших паллиативную медицинскую помощь, в общем количестве пациентов,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нуждающихся в паллиативной медицинской помощи,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региональной прогр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аммой «Развитие системы оказания паллиативной медицинской помощи в Новосибирской области на 2020-2024 годы»,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постановлением Правительства Новосибирской области от 18.08.2020 № 343-п.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общего колич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ества пациентов, получивших паллиативной медицинской помощи, к общему количеству пациентов, нуждающихся в паллиативной медицинской помощи, выраженное в процентном соотношении.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основного мероприятия 6.1.1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отчётная форма № 62 «Сведения о ресурсном обеспечении и оказании медицинской помощи населению» (Приказ ФСГС от 30.12.2015 № 672)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417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7. Кадровое обеспечение системы здравоохранения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119.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овиях): врачами,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«Обеспечение медицинских организаций системы здравоохранения квалифицированными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как соотношение числа занятых врачами должностей в подразделениях медицинских организаций, оказывающих медицинскую помощь в амбулаторных условиях, к числу штатных должностей врачей в медицинских организациях, оказывающих медицинскую помощь в амбулаторны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условиях, выраженное в процентах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 30.12.2020 № 863 в соответствии с Приказом Минздрава России от 01.04.2021 № 284 «Об утверждении методик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асчета отдельных основных показателей национального проекта «Здравоохранение» и дополнительных показателей федерального проекта «Обеспечение медицинских организаций системы здравоохранения квалифицированными кадрами», входящего в национальный проект «Здрав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оохранение».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х, оказывающих медицинскую помощь в амбулаторных условиях): средними медицинскими работниками,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организаций, оказывающих медицинскую помощь в амбулаторных условиях, к числу штатных должностей среднего медицинского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рсонала в медицинских организациях, оказывающих медицинскую помощь в амбулаторных условиях, выраженное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 30.12.2020 № 863 в 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ствии с Приказом Минздрава России от 01.04.2021 № 284 «Об утверждении методик расчета отдельных основных показателей национального проекта «Здравоохранение» и дополнительных показателей федерального проекта «Обеспечение медицинских организаций  системы здр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авоохранения квалифицированными кадрами», входящего в национальный проект «Здравоохранение».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121. Укомплектованность фельдшерских пунктов, фельдшерско-акушерских пунктов, врачебных амбулаторий медицинскими работниками,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оотношение числа занятых должностей средними медицинскими работниками в фельдшерских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пунктах, фельдшерско-акушерских пунктах и врачами во врачебных амбулаториях, к числу штатных должностей указанных категорий медицинских работников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Подпрограммы 7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федерального регистра медицинских работников, являющегося подсистемой единой государственной информационной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в сфере здравоохранения, на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основании формы № 30 «Сведения о медицинской организации», утвержденной приказом Росстата от 30.12.2020 № 863  в соответствии с Приказом Минздрава России от 01.04.2021 № 284 «Об утверждении методик расчета отдельных основных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показателей национального проекта «Здравоохранение» и дополнительных показателей федерального проекта «Обеспечение медицинских организаций  системы здравоохранения квалифицированными кадрами», входящего в национальный проект «Здравоохранение».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авляется ГБУЗ НСО «МИАЦ»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122. 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ндикатора определяются на основе отчетности, сложившейся за 3 года, предшествующие году начала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застрахованных медицинских работников в рамках реализации мероприятий Программы,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которых связана с угрозой их жизни и здоровью, на отчетный год к общему количеству медицинских работников, подлежащих страхованию,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основного мероприятия 7.1.3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предоставляются медицинскими организациями, подведомственными Минздраву НСО</w:t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123. Число медицинских работников, получателей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единовременных и компенсационных денежных выплат и компенсаций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нного объема финансирования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количество медицинских работников - получателей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единовременных и компенсационных денежных выплат, и компенсаций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(единовременные компенсационные выплаты медицинским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до 50 тыс. человек), единовременная денежная выплата врачам, компенсация части стоимости найма жилого помещения медицинским работникам государственных медицинских организаций Новосибирской области, компенсации за проезд на общественном транспорте медицин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ским работникам удаленных организаций города Новосибирска, проживающим вне территории района, в котором расположена организация, из расчета пятьдесят поездок в месяц на одного работника по стоимости, установленной департаментом по тарифам Новосибирской 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асти на отчетный год в рамках реализации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 основных мероприятий 7.1.4, 7.1.5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предоставляются медицинскими организациями, подведомс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твенными Минздраву НСО</w:t>
            </w:r>
            <w:r/>
          </w:p>
        </w:tc>
      </w:tr>
      <w:tr>
        <w:trPr>
          <w:trHeight w:val="112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128. Количество подготовленных специалистов среднего звена по программам, в том числе дополнительного медицинского и фармацевтического образования в государственных образовательных организациях,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потребности медицинских организаций в подготовке специалистов по программам дополнительного медицинского и фар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мацевтического образования.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суммарное число подготовленных специалистов среднего звена по программам (основного) дополнительного медицинского и фармацевтического образования в государственных образовательных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ях (осуществление образовательного процесса в сфере подготовки, переподготовки и повышения квалификации специалистов среднего звена в соответствии с действующим государственным образовательным стандартом, действующим законодательством Российской Федерации,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дополнительного профессионального образования (повышение квалификации специалистов со средним медицинским (фармацевтическим) образованием) за отчетный период в рамках реализации мероприятий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основного мероприятия 7.2.2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в том числе оказывает влияние на достижение целевого индикатора за отчетный период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ГАПОУ НСО «Новосибирский медицинский колледж»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ФГБОУ ВО «Новосибирский государственный медицинский университет» Минздрава России</w:t>
            </w:r>
            <w:r/>
          </w:p>
        </w:tc>
      </w:tr>
      <w:tr>
        <w:trPr>
          <w:trHeight w:val="416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медицинских работников - активных пользователей инте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рнет-портала непрерывного медицинского и фармацевтического образования, являющегося подсистемой информационной системы обеспечения непрерывного медицинского образования.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работник - активный пользователь Портала - специалист с высшим медицинским образованием (врач, руководитель) и (или) средним профессиональным образованием, имеющий на дату предоставления данных хотя бы одну должность (основную или по совместите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льству) в медицинской или иной организации и имеющий подтверждение освоения образовательного элемента (образовательных элементов) непрерывного образования на Портале.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ятий Подпрограммы 7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данных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интернет-портала непрерывного медицинского и фармацевтического образования, расположенного в информационно-телекоммуникационной сети "Интернет" по адресу: http://edu.rosminzdrav.ru</w:t>
            </w:r>
            <w:r/>
          </w:p>
        </w:tc>
      </w:tr>
      <w:tr>
        <w:trPr>
          <w:trHeight w:val="243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131. 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общего количества медицинских и 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рмацевтических специалистов,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области, к обучившимся в рамках целевой подготовки для нужд Новосибирской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мероприятий Подпрограммы 7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организациями, подведомственными Минздраву НСО</w:t>
            </w:r>
            <w:r/>
          </w:p>
        </w:tc>
      </w:tr>
      <w:tr>
        <w:trPr>
          <w:trHeight w:val="293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8. Совершенствование системы лекарственного обеспечения, в том числе в амбулаторных условиях 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134. Охват лекарственным обеспечением отдельных категорий граждан,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разницы общего количества рецептов, оформленных медицинскими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организациями в соответствующем календарном году, и общего количества рецептов, находившихся на отсроченном обслуживании в соответствующем календарном году в аптечных организациях, у индивидуальных предпринимателей, осуществляющих фармацевтическую деятельн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ость, в медицинских организациях, имеющих лицензию на фармацевтическую деятельность, их обособленных подразделениях, к общему количеству рецептов, оформленных медицинскими организациями в соответствующем календарном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целевого индикатора за отчетный период оказывает влияние  реализация мероприятий Подпрограммы 8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ведомственная информация Минздрава НСО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135. Доля детей, имеющих с рождения диагноз «фенилкетонурия», обеспеченных специализированным лечебным питанием,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количества детей, поставленных на учет с таким диагнозом,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а также регламентированы постановлением Правительства Российской Федерации от 30.07.1994 № 890 «О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детей, получивших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ециализированное лечебное питание (человек) за отчетный год, к количеству детей, поставленных на учет с таким диагнозом за аналогичный период,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мероприятия 8.1.2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предоставляются Минздравом НСО</w:t>
            </w:r>
            <w:r/>
          </w:p>
        </w:tc>
      </w:tr>
      <w:tr>
        <w:trPr>
          <w:trHeight w:val="552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136. 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еские значения определяются как отношение количества муниципальных районов и городских округов, обеспеченных пунктами отпуска лекарственных препаратов, за отчетный период (год) к количеству муниципальных районов и городских округов,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8.1.3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информации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предоставленной медицинскими организациями, работающими в системе льготного лекарственного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и ГКУ НСО «Новосибоблфарм»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137. Доля рецептов, находящихся на отсроченном обеспечении, в общем количестве выписанных рецептов, 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рецептов, находящихся на отсроченном обеспечении,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общему количеству выписанных рецептов,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8.1.2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информации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предоставленной медицинскими организациями, работающими в системе льготного лекарственного обеспечения</w:t>
            </w:r>
            <w:r/>
          </w:p>
        </w:tc>
      </w:tr>
      <w:tr>
        <w:trPr>
          <w:trHeight w:val="348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9 Развитие информатизации в здравоохранении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138. Доля пациентов, у которых ведутся электронные медицинские карты,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определены исходя из планов проведения организационных мероприятий и финансирования.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прикрепленных к медицинской организации на медицинское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пациентов, обратившихся за медицинской помощью, и имеющих об этом запись в МИС НСО, к общему количеству прикрепленного населения, обратившегося за медицинской помощью, в процентном выражении.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оказывает влияние реализация основного мероприятия 9.1.1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статистические данные МИС НСО.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139. Доля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(инфоматов), от общего количества государственных медицинских организаций,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медицинских 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ий, подведомственных Минздраву НСО, работающих в рамках ОМС, осуществляющих запись посредством Интернет и/или сенсорных терминалов, к общему количеству медицинских организаций, работающих в рамках ОМС, подведомственных Минздраву НСО, выраженное в процентах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9.1.1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статистические данные МИС НСО.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368"/>
        </w:trPr>
        <w:tc>
          <w:tcPr>
            <w:gridSpan w:val="5"/>
            <w:shd w:val="clear" w:color="auto" w:fill="auto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10. Управление развитием отрасли. Структурные преобразования в сфере здравоохранения</w:t>
            </w:r>
            <w:r/>
          </w:p>
        </w:tc>
      </w:tr>
      <w:tr>
        <w:trPr>
          <w:trHeight w:val="69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140. Ввод в эксплуатацию объектов строительства и реконструкции зданий и сооружений медицинских организаций, (ежегодно), в т. ч.: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объектов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объектов, ед.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заявок на реконструкцию и строительство, поступивших от медицинских организаций, подведомственных Минздраву НСО, а также на основании пот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ребности в доступной медицинской помощи, возникшей в связи с увеличением численности населения, с учетом запланированного объема финансирования.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объектов строительства и реконструкции зданий и сооружен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медицинских организаций, введенных в эксплуатацию в отчетном периоде.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периоде в рамках основного мероприятия 10.1.6 и мероприятий 10.1.8.1, 13.1.2.1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фактического значения не учитываются количество вводимых поликлиник в рамках мероприятия 3.1.2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данных - ведомственная информация Минстроя НСО</w:t>
            </w:r>
            <w:r/>
          </w:p>
        </w:tc>
      </w:tr>
      <w:tr>
        <w:trPr>
          <w:trHeight w:val="69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П1. Количество объектов незавершенного строительства (переходящих), на которых работы выполнены в соответствии с установленным графиком (за отчетный год)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заявок на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еконструкцию и строительство, поступивших от медицинских организаций, подведомственных Минздраву НСО, а также на основании потребности в доступной медицинской помощи, возникшей в связи с увеличением численности населения, с учетом запланированного объема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инансирования. В расчет не включены объекты, по которым в отчетном году планируется оплата по бюджетным обязательствам по техническому присоединению к электросетям.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объектов незавершенного строительств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и реконструкции зданий и сооружений медицинских организаций, переходящих на следующий период, на которых работы выполнены в соответствии с установленным графиком (в том числе работа по разработке проектно-сметной документации).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итывается по факту проведения работ в отчетном периоде в рамках основного мероприятия 10.1.6 и мероприятия 10.1.8.1, 13.1.2.1.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фактического значения не учитываются количество строящихся поликлиник в рамках мероприятия 3.1.2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олучения данных - ведомственная информация Минстроя НСО</w:t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142. 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Минздраву НСО,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заявок на новое оборудование, мебель, оргтехнику, поступивших от учреждений, подведомственных Минздраву НСО, с учетом запланированного объема финансирования.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= 85 (план на 2023 год) / 109 (на 22.12.2022) * 100 = 78,0%;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государственных учреждений Новосибирской области, оснащенных новым оборудованием, мебелью, оргтехникой в отчетном периоде в рамках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мероприятий Программы, к общему числу учреждений, подведомственных Минздраву НСО (на начало отчетного года)</w:t>
            </w:r>
            <w:r>
              <w:rPr>
                <w:rStyle w:val="876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выраженное в процентах. Учреждения, принимающие участие в реализации нескольких мероприятий, принимаются в отчетном периоде к расчету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дин раз.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периоде в рамках мероприятий 2.1.1.1, 2.1.2.1, 2.1.2.2, 2.5.2.1, 4.2.2.1, 4.2.8.1, 5.1.4, 6.1.1.2, 10.1.5.3, 10.1.8.2, 10.1.9.1, 10.1.10.1, 10.1.11.1, 11.1.5, 13.1.2.3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формируются на основании бухгалтерской отчетности, предоставляемой учреждениями, подведомственными Минздраву НСО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143. Доля государственных учреждений, в которых проведены ремонтные работы, от общего числа государственных учреждений, подведомственных мини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стерству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Новосибирской области,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заявок на ремонтные работы, поступивших от учреждений, подведомственных Минздраву НСО, с учетом запланированного объема финансирования.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= 44 (план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год) / 109 (на 22.12.2022) * 100 = 40,4%;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 отношение количества государственных учреждений, в которых проведены ремонтные работы в отчетном периоде в рамках реализации мероприятий Программы, к общему числу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нных учреждений, подведомственных Минздраву НСО (на начало отчетного года)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выраженное в процентах. Учреждения, принимающие участие в реализации нескольких мероприятий, принимаются в отчетном периоде к расчету один раз.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факту проведения работ в отчетном периоде в рамках мероприятий 10.1.5.1, 10.1.8.2, 10.1.8.4, 10.1.9.1, 10.1.10.1, 13.1.2.2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актов о приеме выполненных работ «КС-2», справок о стоимости выполненных работ «КС-3».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учреждениями, подведомственными Минздраву НСО</w:t>
            </w:r>
            <w:r/>
          </w:p>
        </w:tc>
      </w:tr>
      <w:tr>
        <w:trPr>
          <w:trHeight w:val="1677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144. Удельное потребление энергетических ресурсов государственных учреждений, подведомственных министерству здравоохранения Новосибирской области (к уровню 2016 года) (электроэнергии, тепловой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энергии, воды),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основе отчетности, сложившейся за 3 года, предшествующие году начала ввода данного индикатора (2017).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Фактические значения определяются 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 отношение общего объема энергоресурсов, потребленных учреждениями, подведомственными Минздраву НСО, в текущем году к общему объему энергоресурсов, потребленных учреждениями, подведомственными Минздраву НСО, в базисном (2016) году,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основного мероприятия 10.1.5 Программы, в том числе оказывает влияние на достижение целевого индикатора в отчетном году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 ГБУЗ НСО «МИАЦ» на основании информации, предоставленной учреждениями, подведомственными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Минздраву НСО</w:t>
            </w:r>
            <w:r/>
          </w:p>
        </w:tc>
      </w:tr>
      <w:tr>
        <w:trPr>
          <w:trHeight w:val="835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145. Количество пролеченных иностранных граждан, тыс. человек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«Экспорт медицинских услуг».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ические значения определяются как число иностранных граждан, которым оказаны медицинские услуги медицинскими организациями государственной, муниципальной и частной систем здравоохранения Российской Федерации за счет внебюджетного финансирования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информации являются данные автоматизированной системы мониторинга медицинской статистики Министерства здравоохранения Российской Федерации</w:t>
            </w:r>
            <w:r/>
          </w:p>
        </w:tc>
      </w:tr>
      <w:tr>
        <w:trPr>
          <w:trHeight w:val="835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146. Увеличение объема экспорта медицинских услуг не менее чем в четыре раза по сравнению с 2017 годом (до 1 млрд. долларов США в год), миллион долларов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в соответствии с региональным проектом «Экспорт медицинских услуг».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сумма стоимости медицинских услуг, оказанных иностранным гражданам на территории Российской Федерации медицинскими организациями государственной,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и частной систем здравоохранения за счет внебюджетного финансирования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</w:t>
            </w:r>
            <w:r/>
          </w:p>
        </w:tc>
      </w:tr>
      <w:tr>
        <w:trPr>
          <w:trHeight w:val="187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148. Доля поликлиник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</w:t>
            </w:r>
            <w:bookmarkStart w:id="1" w:name="_Hlk517277146"/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  <w:t xml:space="preserve">Развитие системы оказания первичной медико-санитарной помощи»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= 79 (план на 2023 год) / 152 (на 31.12.2022) * 100 = 51,9%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ические значения определяются как отношение количества поликлиник и поликлинических подразделений, участвующих в создании и тиражировании «Новой модели организации оказания медицинской помощи», к общему количеству медицинских организаций, оказывающих перви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чную медико-санитарную помощь, в процентном выражении.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проведения работ в отчетном году в рамках мероприятий Подпрограммы 10.1.8.4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ГБУЗ НСО «МИАЦ», на основании информации,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доставленной медицинскими организациями, подведомственными Минздраву НСО.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 30.12.2020 № 863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Региональным центром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рвичной медико-санитарной помощи ГБУЗ НСО «МИАЦ»</w:t>
            </w:r>
            <w:r/>
          </w:p>
        </w:tc>
      </w:tr>
      <w:tr>
        <w:trPr>
          <w:trHeight w:val="187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149. 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числа населенных пунктов с числом жителей от 101 до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 человек, населению которых доступна первичная медико-санитарная помощь по месту их проживания, к общему количеству населенных пунктов с числом жителей от 101 до 2000 человек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подсистемы единой государственной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ационной системы в сфере здравоохранения: геоинформационная подсистема</w:t>
            </w:r>
            <w:r/>
          </w:p>
        </w:tc>
      </w:tr>
      <w:tr>
        <w:trPr>
          <w:trHeight w:val="187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150. Число посещений сельскими жителями ФП, ФАПов и ВА, в расчете на 1 сельского жителя, посещение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числа посещений сельскими жителями фельдшерских пункт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ов, фельдшерско-акушерских пунктов и врачебных амбулаторий, к среднегодовой численности сельского населения, проживающего в населенных пунктах Новосибирской области с числом жителей от 101 до 2000 человек, посещений в смену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формы № 30 «Сведения о медицинской организации», утвержденной приказом Росстата от 30.12.2020 № 863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151. Число дней занятости койки в году, дни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рассчитывается путем деления среднего времени простоя койки / оборот койки. Оборот койки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как отношение среднего числа дней работы койки к средней длительности пребывания больного на койке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ГБУЗ НСО «МИАЦ», на основании информации, предоставленной медицинскими организациями, подведомственными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здраву НСО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152. Уровень госпитализации на геронтологические койки лиц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старше 60 лет на 10 тыс. населения соответствующего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возраста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«Старшее поколение».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 соотношение числа лиц в возрасте 60 лет и старше, поступивших на геронтологические койки, к среднегодовой 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сленности населения в возрасте 60 лет и старше в отчетном периоде.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11.1.1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федерального статистического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аблюдения по форме № 30 «Сведения о медицинской организации»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о численности населения по возрасту является Федеральная служба государственной статистики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153. Средняя длительность лечения больного в стационаре, дни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определяются, как отношение числа койко-дней, проведенных всеми больны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в стационаре, к числу выбывших (выписанных из стационара или умерших) больных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 ГБУЗ НСО «МИАЦ», на основании информации, предоставленной медицинскими организациями, подведомственными Минздраву НСО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154. Доля врачей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вичного звена от общего числа врачей,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врачей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работающих в медицинских организациях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оказывающих медицинскую помощь в амбулаторных условиях, к общему  количеству врачей,  выраженное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 ГБУЗ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НСО «МИАЦ», на основании информации, предоставленной медицинскими организациями, подведомственными Минздраву НСО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155. Доля пациентов, доставленных по экстренным показаниям, от общего числа пациентов, пролеченных в стационарных условиях,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пациентов, доставленных в стационар по 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кстренным показаниям, к общему числу пациентов, пролеченных в стационарных условиях, выраженное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 ГБУЗ НСО «МИАЦ», на основании информации, предоставленной медицинскими организациями, подведомственными Минздрав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НСО</w:t>
            </w:r>
            <w:r/>
          </w:p>
        </w:tc>
      </w:tr>
      <w:tr>
        <w:trPr>
          <w:trHeight w:val="64"/>
        </w:trPr>
        <w:tc>
          <w:tcPr>
            <w:gridSpan w:val="5"/>
            <w:shd w:val="clear" w:color="auto" w:fill="auto"/>
            <w:tcW w:w="15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11. Организация обязательного медицинского страхования граждан в Новосибирской области</w:t>
            </w:r>
            <w:r/>
          </w:p>
        </w:tc>
      </w:tr>
      <w:tr>
        <w:trPr>
          <w:trHeight w:val="277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156. Сроки ожидания приема врачами-терапевтами участковыми, врачами общей практики (семейными врачами), врачами-педиатрами участковыми, часов с момента обращения пациента в медицинскую организацию, не более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определяются, как общее количество часов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 момента обращения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медицинской услуги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показателя производится через информационную систему единой записи на прием «Единая регистратура Новосибирской области»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157. 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ожидания оказания специализированной (за исключением высокотехнологичной) медицинс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помощи, в том числе для лиц, находящихся в стационарных организациях социального обслуживания, рабочих дней со дня выдачи лечащим врачом направления на госпитализацию, не более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рабочих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дней со дня выдачи лечащим врачом направления на госпитализацию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показателя производится через информационную систему единой записи на прием «Единая регистратура Новосибирской области»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158. Норматив объема скорой медицинской помощи вне медицинск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организации, включая медицинскую эвакуацию, вызов на 1 застрахованное лицо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дицинской помощи в Новосибирской области.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объёмов оказания медицинской помощи (исполнено) учреждений и подразделений скорой медицинской помощи за счет средств ОМС на территориальную программу ОМС к количеству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лиц, застрахованных в системе обязательного медицинского страхования Новосибирской области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отчётная форма № 62 «Сведения о ресурсном обеспечении и оказании медицинской помощи населению» (Приказ ФСГС от 30.12.2015 № 672)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159. 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образования, человек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деляются с учетом сложившейся динамики за последние 3 года, предшествующие очередному году реализации Программы, а также потребности медицинских организаций в подготовке специалистов по программам дополнительного медицинского и фармацевтического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иятий Программы.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11.1.5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ФГБОУ ВО «Новосибирский государственный медицинский университет» Минздрава России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160. 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медицинского страхования, урегулированных в досудебном порядке (от общего числа обоснованных жал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пациентов), не менее,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количества обоснованных жалоб пациентов, застрахованных в системе обязательного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ациями, к общему количеству поступивших обоснованных жалоб в Новосибирской области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информации являются данные государственной информационной системы обязательного медицинского страхования и данные отчетности по форме № ЗПЗ «Организация защиты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застрахованных лиц в сфере обязательного медицинского страхования», утвержденной приказом Федерального фонда обязательного медицинского страхования от 08.11.2022 № 157н</w:t>
            </w:r>
            <w:r/>
          </w:p>
        </w:tc>
      </w:tr>
      <w:tr>
        <w:trPr>
          <w:trHeight w:val="195"/>
        </w:trPr>
        <w:tc>
          <w:tcPr>
            <w:gridSpan w:val="5"/>
            <w:shd w:val="clear" w:color="auto" w:fill="auto"/>
            <w:tcW w:w="15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12. Развитие материально-технической базы детских поликлиник и детских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поликлинических отделений медицинских организаций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162. 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(в результате реализации основных мероприятий 10.1.11, 12.1.1 и 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 Программы в 2018-2020 годах в детских поликлиниках и детских поликлинических отделениях созданы комфортные условия пребывания детей и проведено дооснащение медицинским оборудованием) к общему количеству детских поликлиник и детских поликлинических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ений, выраженное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организации», утвержденной прик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азом Росстата от 30.12.2020 № 863, и формы федерального государственного статистического наблюдения № 47 «Сведения о сети и деятельности медицинских организаций», утвержденной приказом Росстата от 31.12.2020 № 876.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163. Доля посещений детьми медицинских организаций с профилактическими целями,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посещений врачей с профилактической целью детьми в возрасте 0-17 лет к числу всех посещений врачей в подразделениях, оказывающих медицинскую помощь в амбулаторных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ях, детьми в возрасте 0-17 лет, выраженное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изации», утвержденной приказом Росстата от 30.12.2020 № 863.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1693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165. 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медицинским оборудованием, от общего числа посещений детьми детских поликлиник и поликлинических подразделений,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выполненных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к общему числу посещений детьми детских поликлиник и поликлинических подразделений, выраженное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организации», утвержденной приказом Росстата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30.12.2020 № 863.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  <w:tr>
        <w:trPr>
          <w:trHeight w:val="85"/>
        </w:trPr>
        <w:tc>
          <w:tcPr>
            <w:gridSpan w:val="5"/>
            <w:shd w:val="clear" w:color="auto" w:fill="auto"/>
            <w:tcW w:w="15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13. Модернизация первичного звена здравоохранения Новосибирской области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169. 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зданий, в которых оказывается первичная медико-санитарная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ощь, находящихся в аварийном состоянии, требующих сноса, реконструкции, капитального ремонта к общему числу зданий, в которых оказывается первичная медико-санитарная помощь, выраженное в процентах.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вают влияние реализация мероприятий 10.1.5.1, 10.1.8.2, 13.1.2.1, 13.1.2.2 и основного мероприятия 10.1.6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 30.12.2020 № 863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едоставляется ГБУЗ НСО «МИАЦ»</w:t>
            </w:r>
            <w:r/>
          </w:p>
        </w:tc>
      </w:tr>
      <w:tr>
        <w:trPr>
          <w:trHeight w:val="554"/>
        </w:trPr>
        <w:tc>
          <w:tcPr>
            <w:shd w:val="clear" w:color="auto" w:fill="auto"/>
            <w:tcW w:w="325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170. 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Годовая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на конец отчетного периода (нарастающим итогом)</w:t>
            </w:r>
            <w:r/>
          </w:p>
        </w:tc>
        <w:tc>
          <w:tcPr>
            <w:shd w:val="clear" w:color="auto" w:fill="auto"/>
            <w:tcW w:w="5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оличества медицинского оборудования (цифровые аппараты для исследования органов грудной клетки (цифровые флюорографы), маммографические аппараты, компьютерные томографы, аппараты ультразвуковой диагностики) со сроком эксплуатации свыше 10 лет для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медицинской помощи в амбулаторных условиях к общему количеству данного вида оборудования в подразделениях медицинских организаций, оказывающих медицинскую помощь в амбулаторных условиях, выраженное в процентах.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оказывают влияние реализация мероприятий 10.1.5.3, 10.1.8.2, 13.1.2.3 Программы</w:t>
            </w:r>
            <w:r/>
          </w:p>
        </w:tc>
        <w:tc>
          <w:tcPr>
            <w:shd w:val="clear" w:color="auto" w:fill="auto"/>
            <w:tcW w:w="354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формы № 30 «Сведения о медицинской организации», утвержденной приказом Росстата от 30.12.2020 № 863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предоставляется ГБУЗ НСО «МИАЦ»</w:t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Применяемые сокращения:</w:t>
      </w:r>
      <w:r/>
    </w:p>
    <w:p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ГАПОУ НСО «Новосибирский медицинский колледж» - Государствен</w:t>
      </w:r>
      <w:r>
        <w:rPr>
          <w:rFonts w:ascii="Times New Roman" w:hAnsi="Times New Roman" w:cs="Times New Roman"/>
          <w:sz w:val="18"/>
        </w:rPr>
        <w:t xml:space="preserve">ное автономное профессиональное образовательное учреждение Новосибирской области «Новосибирский медицинский колледж»;</w:t>
      </w:r>
      <w:r/>
    </w:p>
    <w:p>
      <w:pPr>
        <w:spacing w:after="0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</w:rPr>
        <w:t xml:space="preserve">ГБУЗ НСО «ГИКБ № 1» - Государственное бюджетное учреждение здравоохранения Новосибирской области «Городская инфекционная клиническая больн</w:t>
      </w:r>
      <w:r>
        <w:rPr>
          <w:rFonts w:ascii="Times New Roman" w:hAnsi="Times New Roman" w:cs="Times New Roman"/>
          <w:sz w:val="18"/>
        </w:rPr>
        <w:t xml:space="preserve">ица № 1»;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ГБУЗ НСО «ГКБ №1» - Государственное бюджетное учреждение здравоохранения Новосибирской области «Городская клиническая больница №1»;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ГБУЗ НСО «ГНОКБ» - 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ФГБОУ ВО - Ф</w:t>
      </w:r>
      <w:r>
        <w:rPr>
          <w:rStyle w:val="873"/>
          <w:rFonts w:ascii="Times New Roman" w:hAnsi="Times New Roman" w:cs="Times New Roman"/>
          <w:b w:val="0"/>
          <w:sz w:val="18"/>
          <w:szCs w:val="18"/>
        </w:rPr>
        <w:t xml:space="preserve">едеральное государственное бюджетное образовательное учреждение высшего образования;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ГБУЗ НСО «НОКНД» - Государственное бюджетное учреждение здравоохранения Новосибирской области «</w:t>
      </w:r>
      <w:r>
        <w:rPr>
          <w:rFonts w:ascii="Times New Roman" w:hAnsi="Times New Roman" w:cs="Times New Roman"/>
          <w:sz w:val="18"/>
        </w:rPr>
        <w:t xml:space="preserve">Новосибирский областной клинический наркологический диспансер»;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ГБУЗ НСО «НОКОД» - Государственное бюджетное учреждение здравоохранения Новосибирской области «Но</w:t>
      </w:r>
      <w:r>
        <w:rPr>
          <w:rFonts w:ascii="Times New Roman" w:hAnsi="Times New Roman" w:cs="Times New Roman"/>
          <w:sz w:val="18"/>
        </w:rPr>
        <w:t xml:space="preserve">восибирский областной клинический онкологический диспансер».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ГБУЗ НСО «НОКПТД» - Государственное бюджетное учреждение здравоохранения Новосибирской области «Новосибирский областной клинический противотуберкулезный диспансер»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ГБУЗ НСО «КЦОЗСиР» </w:t>
      </w:r>
      <w:r>
        <w:rPr>
          <w:rFonts w:ascii="Times New Roman" w:hAnsi="Times New Roman" w:cs="Times New Roman"/>
          <w:sz w:val="18"/>
        </w:rPr>
        <w:t xml:space="preserve">- Государств</w:t>
      </w:r>
      <w:r>
        <w:rPr>
          <w:rFonts w:ascii="Times New Roman" w:hAnsi="Times New Roman" w:cs="Times New Roman"/>
          <w:sz w:val="18"/>
        </w:rPr>
        <w:t xml:space="preserve">енное бюджетное учреждение здравоохранения Новосибирской области «Клинический центр охраны здоровья семьи и репродукции»;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ГБУЗ НСО «МИАЦ» - Государственное казенное учреждение здравоохранения Новосибирской области «Медицинский информационно-аналитический ц</w:t>
      </w:r>
      <w:r>
        <w:rPr>
          <w:rFonts w:ascii="Times New Roman" w:hAnsi="Times New Roman" w:cs="Times New Roman"/>
          <w:sz w:val="18"/>
        </w:rPr>
        <w:t xml:space="preserve">ентр»;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ГКУЗ НСО «РЦОЗ и МП» - Государственное казенное учреждение здравоохранения Новосибирской области «Региональный центр общественного здоровья и медицинской профилактики»;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ГКУ НСО «Новосибоблфарм» - Государственное казенное учреждение Новосибирской обл</w:t>
      </w:r>
      <w:r>
        <w:rPr>
          <w:rFonts w:ascii="Times New Roman" w:hAnsi="Times New Roman" w:cs="Times New Roman"/>
          <w:sz w:val="18"/>
        </w:rPr>
        <w:t xml:space="preserve">асти «Новосибоблфарм»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ДТП - дорожно - транспортное происшествие;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Минздрав НСО - министерство здравоохранения Новосибирской области;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Минздрав России – Министерство здравоохранения Российской Федерации;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МИС НСО - Медицинская информационная система Новосибирс</w:t>
      </w:r>
      <w:r>
        <w:rPr>
          <w:rFonts w:ascii="Times New Roman" w:hAnsi="Times New Roman" w:cs="Times New Roman"/>
          <w:sz w:val="18"/>
        </w:rPr>
        <w:t xml:space="preserve">кой области;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НСО - Новосибирская область;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ОМС – обязательное медицинское страхование;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Программа – государственная программа «Развитие здравоохранения Новосибирской области», утвержденная постановлением Правительства Новосибирской области от 07.03.2013 № 19</w:t>
      </w:r>
      <w:r>
        <w:rPr>
          <w:rFonts w:ascii="Times New Roman" w:hAnsi="Times New Roman" w:cs="Times New Roman"/>
          <w:sz w:val="18"/>
        </w:rPr>
        <w:t xml:space="preserve">9-п;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Росалкогольрегулирование по СФО – Межрегиональное управление Федеральной службы по регулированию алкогольного рынка по Сибирскому федеральному округу;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ТОФСГС по НСО - Территориальный орган федеральной службы государственной статистики по Новосибирской</w:t>
      </w:r>
      <w:r>
        <w:rPr>
          <w:rFonts w:ascii="Times New Roman" w:hAnsi="Times New Roman" w:cs="Times New Roman"/>
          <w:sz w:val="18"/>
        </w:rPr>
        <w:t xml:space="preserve"> области;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ТПГГ НСО -  территориальная программа государственных гарантий бесплатного оказания гражданам медицинской помощи в Новосибирской области;</w:t>
      </w:r>
      <w:r/>
    </w:p>
    <w:p>
      <w:pPr>
        <w:pStyle w:val="677"/>
        <w:spacing w:before="0" w:beforeAutospacing="0" w:after="0" w:afterAutospacing="0"/>
        <w:rPr>
          <w:b w:val="0"/>
          <w:bCs w:val="0"/>
          <w:sz w:val="18"/>
          <w:szCs w:val="22"/>
        </w:rPr>
      </w:pPr>
      <w:r>
        <w:rPr>
          <w:b w:val="0"/>
          <w:sz w:val="18"/>
          <w:szCs w:val="22"/>
        </w:rPr>
        <w:t xml:space="preserve">ТФОМС - </w:t>
      </w:r>
      <w:hyperlink r:id="rId15" w:tooltip="http://www.novofoms.ru/" w:history="1">
        <w:r>
          <w:rPr>
            <w:b w:val="0"/>
            <w:bCs w:val="0"/>
            <w:sz w:val="18"/>
            <w:szCs w:val="22"/>
          </w:rPr>
          <w:t xml:space="preserve">Территориальный фонд обязательного </w:t>
        </w:r>
        <w:r>
          <w:rPr>
            <w:b w:val="0"/>
            <w:sz w:val="18"/>
            <w:szCs w:val="22"/>
          </w:rPr>
          <w:t xml:space="preserve">медицинского страхования</w:t>
        </w:r>
      </w:hyperlink>
      <w:r>
        <w:rPr>
          <w:b w:val="0"/>
          <w:sz w:val="18"/>
          <w:szCs w:val="22"/>
        </w:rPr>
        <w:t xml:space="preserve">;</w:t>
      </w:r>
      <w:r/>
    </w:p>
    <w:p>
      <w:pPr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</w:rPr>
        <w:t xml:space="preserve">ФСГС - </w:t>
      </w:r>
      <w:r>
        <w:rPr>
          <w:rFonts w:ascii="Times New Roman" w:hAnsi="Times New Roman" w:cs="Times New Roman"/>
          <w:sz w:val="18"/>
          <w:lang w:eastAsia="ru-RU"/>
        </w:rPr>
        <w:t xml:space="preserve">Федеральная служба государственной статистики (РОССТАТ).</w:t>
      </w:r>
      <w:r/>
    </w:p>
    <w:p>
      <w:pPr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lang w:eastAsia="ru-RU"/>
        </w:rPr>
      </w:r>
      <w:r/>
    </w:p>
    <w:p>
      <w:pPr>
        <w:jc w:val="center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lang w:eastAsia="ru-RU"/>
        </w:rPr>
        <w:t xml:space="preserve">_________</w:t>
      </w:r>
      <w:r/>
    </w:p>
    <w:sectPr>
      <w:headerReference w:type="default" r:id="rId9"/>
      <w:footnotePr/>
      <w:endnotePr/>
      <w:type w:val="nextPage"/>
      <w:pgSz w:w="16838" w:h="11906" w:orient="landscape"/>
      <w:pgMar w:top="851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/>
        <w:rPr>
          <w:rFonts w:ascii="Times New Roman" w:hAnsi="Times New Roman" w:cs="Times New Roman"/>
          <w:sz w:val="18"/>
        </w:rPr>
      </w:pPr>
      <w:r>
        <w:rPr>
          <w:rStyle w:val="876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 xml:space="preserve">В системе здравоохранения Новосибирской области функционируют 109 государственных учреждений, подведомственных министерству здравоохранения Новосибирской области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6651296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</w:style>
  <w:style w:type="paragraph" w:styleId="675">
    <w:name w:val="Heading 1"/>
    <w:basedOn w:val="674"/>
    <w:next w:val="674"/>
    <w:link w:val="87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76">
    <w:name w:val="Heading 2"/>
    <w:basedOn w:val="674"/>
    <w:next w:val="674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link w:val="869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78">
    <w:name w:val="Heading 4"/>
    <w:basedOn w:val="674"/>
    <w:next w:val="674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8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4"/>
    <w:uiPriority w:val="10"/>
    <w:rPr>
      <w:sz w:val="48"/>
      <w:szCs w:val="48"/>
    </w:rPr>
  </w:style>
  <w:style w:type="character" w:styleId="695" w:customStyle="1">
    <w:name w:val="Subtitle Char"/>
    <w:basedOn w:val="684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74"/>
    <w:next w:val="674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Заголовок Знак"/>
    <w:basedOn w:val="684"/>
    <w:link w:val="709"/>
    <w:uiPriority w:val="10"/>
    <w:rPr>
      <w:sz w:val="48"/>
      <w:szCs w:val="48"/>
    </w:rPr>
  </w:style>
  <w:style w:type="paragraph" w:styleId="711">
    <w:name w:val="Subtitle"/>
    <w:basedOn w:val="674"/>
    <w:next w:val="674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basedOn w:val="684"/>
    <w:link w:val="711"/>
    <w:uiPriority w:val="11"/>
    <w:rPr>
      <w:sz w:val="24"/>
      <w:szCs w:val="24"/>
    </w:rPr>
  </w:style>
  <w:style w:type="paragraph" w:styleId="713">
    <w:name w:val="Quote"/>
    <w:basedOn w:val="674"/>
    <w:next w:val="674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4"/>
    <w:next w:val="674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84"/>
    <w:uiPriority w:val="99"/>
  </w:style>
  <w:style w:type="character" w:styleId="718" w:customStyle="1">
    <w:name w:val="Footer Char"/>
    <w:basedOn w:val="684"/>
    <w:uiPriority w:val="99"/>
  </w:style>
  <w:style w:type="paragraph" w:styleId="719">
    <w:name w:val="Caption"/>
    <w:basedOn w:val="674"/>
    <w:next w:val="6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 w:customStyle="1">
    <w:name w:val="Footnote Text Char"/>
    <w:uiPriority w:val="99"/>
    <w:rPr>
      <w:sz w:val="18"/>
    </w:rPr>
  </w:style>
  <w:style w:type="paragraph" w:styleId="847">
    <w:name w:val="endnote text"/>
    <w:basedOn w:val="674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84"/>
    <w:uiPriority w:val="99"/>
    <w:semiHidden/>
    <w:unhideWhenUsed/>
    <w:rPr>
      <w:vertAlign w:val="superscript"/>
    </w:rPr>
  </w:style>
  <w:style w:type="paragraph" w:styleId="850">
    <w:name w:val="toc 1"/>
    <w:basedOn w:val="674"/>
    <w:next w:val="674"/>
    <w:uiPriority w:val="39"/>
    <w:unhideWhenUsed/>
    <w:pPr>
      <w:spacing w:after="57"/>
    </w:pPr>
  </w:style>
  <w:style w:type="paragraph" w:styleId="851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2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53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4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5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6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7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8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4"/>
    <w:next w:val="674"/>
    <w:uiPriority w:val="99"/>
    <w:unhideWhenUsed/>
    <w:pPr>
      <w:spacing w:after="0"/>
    </w:pPr>
  </w:style>
  <w:style w:type="paragraph" w:styleId="861">
    <w:name w:val="Balloon Text"/>
    <w:basedOn w:val="674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84"/>
    <w:link w:val="861"/>
    <w:uiPriority w:val="99"/>
    <w:semiHidden/>
    <w:rPr>
      <w:rFonts w:ascii="Tahoma" w:hAnsi="Tahoma" w:cs="Tahoma"/>
      <w:sz w:val="16"/>
      <w:szCs w:val="16"/>
    </w:rPr>
  </w:style>
  <w:style w:type="character" w:styleId="863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864">
    <w:name w:val="annotation text"/>
    <w:basedOn w:val="674"/>
    <w:link w:val="86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5" w:customStyle="1">
    <w:name w:val="Текст примечания Знак"/>
    <w:basedOn w:val="68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 w:customStyle="1">
    <w:name w:val="apple-converted-space"/>
    <w:basedOn w:val="684"/>
  </w:style>
  <w:style w:type="character" w:styleId="869" w:customStyle="1">
    <w:name w:val="Заголовок 3 Знак"/>
    <w:basedOn w:val="684"/>
    <w:link w:val="67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>
    <w:name w:val="Hyperlink"/>
    <w:basedOn w:val="684"/>
    <w:uiPriority w:val="99"/>
    <w:semiHidden/>
    <w:unhideWhenUsed/>
    <w:rPr>
      <w:color w:val="0000ff"/>
      <w:u w:val="single"/>
    </w:rPr>
  </w:style>
  <w:style w:type="paragraph" w:styleId="871" w:customStyle="1">
    <w:name w:val="ConsPlusNormal"/>
    <w:pPr>
      <w:spacing w:after="0" w:line="240" w:lineRule="auto"/>
    </w:pPr>
    <w:rPr>
      <w:rFonts w:ascii="Times New Roman" w:hAnsi="Times New Roman" w:cs="Times New Roman"/>
    </w:rPr>
  </w:style>
  <w:style w:type="paragraph" w:styleId="872">
    <w:name w:val="List Paragraph"/>
    <w:basedOn w:val="674"/>
    <w:uiPriority w:val="34"/>
    <w:qFormat/>
    <w:pPr>
      <w:contextualSpacing/>
      <w:ind w:left="720"/>
    </w:pPr>
  </w:style>
  <w:style w:type="character" w:styleId="873">
    <w:name w:val="Strong"/>
    <w:basedOn w:val="684"/>
    <w:uiPriority w:val="22"/>
    <w:qFormat/>
    <w:rPr>
      <w:b/>
      <w:bCs/>
    </w:rPr>
  </w:style>
  <w:style w:type="paragraph" w:styleId="874">
    <w:name w:val="footnote text"/>
    <w:basedOn w:val="674"/>
    <w:link w:val="87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5" w:customStyle="1">
    <w:name w:val="Текст сноски Знак"/>
    <w:basedOn w:val="684"/>
    <w:link w:val="874"/>
    <w:uiPriority w:val="99"/>
    <w:semiHidden/>
    <w:rPr>
      <w:sz w:val="20"/>
      <w:szCs w:val="20"/>
    </w:rPr>
  </w:style>
  <w:style w:type="character" w:styleId="876">
    <w:name w:val="footnote reference"/>
    <w:basedOn w:val="684"/>
    <w:uiPriority w:val="99"/>
    <w:semiHidden/>
    <w:unhideWhenUsed/>
    <w:rPr>
      <w:vertAlign w:val="superscript"/>
    </w:rPr>
  </w:style>
  <w:style w:type="character" w:styleId="877" w:customStyle="1">
    <w:name w:val="Заголовок 1 Знак"/>
    <w:basedOn w:val="684"/>
    <w:link w:val="675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878">
    <w:name w:val="Header"/>
    <w:basedOn w:val="674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684"/>
    <w:link w:val="878"/>
    <w:uiPriority w:val="99"/>
  </w:style>
  <w:style w:type="paragraph" w:styleId="880">
    <w:name w:val="Footer"/>
    <w:basedOn w:val="674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684"/>
    <w:link w:val="880"/>
    <w:uiPriority w:val="99"/>
  </w:style>
  <w:style w:type="table" w:styleId="882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52C1F8783F0745144C37E5CA11CDFD0956F0C7094435C37AD58429F769283BA64DE2CEB75E0E2045ZFQ0I" TargetMode="External"/><Relationship Id="rId12" Type="http://schemas.openxmlformats.org/officeDocument/2006/relationships/hyperlink" Target="consultantplus://offline/ref=52C1F8783F0745144C37E5CA11CDFD0956F0C7094435C37AD58429F769283BA64DE2CEB75E0E2045ZFQ0I" TargetMode="External"/><Relationship Id="rId13" Type="http://schemas.openxmlformats.org/officeDocument/2006/relationships/hyperlink" Target="consultantplus://offline/ref=6A7F7007A2E8D48754D91F38A3BE99FFECE38C0A8E7A53C39BCDF743FAB27A3E95EAC9345F9F8458J9X5I" TargetMode="External"/><Relationship Id="rId14" Type="http://schemas.openxmlformats.org/officeDocument/2006/relationships/hyperlink" Target="consultantplus://offline/ref=6A7F7007A2E8D48754D91F38A3BE99FFECE38C0A8E7A53C39BCDF743FAB27A3E95EAC9345F9F8458J9X5I" TargetMode="External"/><Relationship Id="rId15" Type="http://schemas.openxmlformats.org/officeDocument/2006/relationships/hyperlink" Target="http://www.novofom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03AA-8AA2-4324-986B-969C410D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revision>11</cp:revision>
  <dcterms:created xsi:type="dcterms:W3CDTF">2023-09-22T03:12:00Z</dcterms:created>
  <dcterms:modified xsi:type="dcterms:W3CDTF">2023-11-21T05:36:52Z</dcterms:modified>
</cp:coreProperties>
</file>