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EE36B2" w:rsidRDefault="00D573EE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EF19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B52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9</w:t>
      </w:r>
    </w:p>
    <w:p w:rsidR="00F05CB1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</w:t>
      </w:r>
    </w:p>
    <w:p w:rsidR="00F05CB1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</w:t>
      </w:r>
    </w:p>
    <w:p w:rsidR="00F05CB1" w:rsidRDefault="001F4E5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B52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  <w:r w:rsidR="00F05C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</w:p>
    <w:p w:rsidR="00F2156B" w:rsidRPr="00B1379E" w:rsidRDefault="001F4E5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B52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B52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7</w:t>
      </w:r>
      <w:r w:rsidR="00F54B1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704" w:rsidRDefault="00E9170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</w:t>
      </w:r>
    </w:p>
    <w:p w:rsidR="00D349F4" w:rsidRPr="00B1379E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медицинской помощи на одно застрахованное лицо в рамках территориальной программы обязательного медицинского страхования на 202</w:t>
      </w:r>
      <w:r w:rsidR="00B529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F3F83" w:rsidRPr="00B1379E" w:rsidRDefault="008F3F83" w:rsidP="00D573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864" w:type="pct"/>
        <w:jc w:val="center"/>
        <w:tblLook w:val="04A0" w:firstRow="1" w:lastRow="0" w:firstColumn="1" w:lastColumn="0" w:noHBand="0" w:noVBand="1"/>
      </w:tblPr>
      <w:tblGrid>
        <w:gridCol w:w="721"/>
        <w:gridCol w:w="6708"/>
        <w:gridCol w:w="2363"/>
        <w:gridCol w:w="1478"/>
        <w:gridCol w:w="1368"/>
        <w:gridCol w:w="1237"/>
        <w:gridCol w:w="1392"/>
      </w:tblGrid>
      <w:tr w:rsidR="00B5298C" w:rsidRPr="00F05CB1" w:rsidTr="00B5298C">
        <w:trPr>
          <w:trHeight w:val="19"/>
          <w:jc w:val="center"/>
        </w:trPr>
        <w:tc>
          <w:tcPr>
            <w:tcW w:w="236" w:type="pct"/>
            <w:vMerge w:val="restart"/>
            <w:vAlign w:val="center"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97" w:type="pct"/>
            <w:vMerge w:val="restart"/>
            <w:vAlign w:val="center"/>
            <w:hideMark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774" w:type="pct"/>
            <w:vMerge w:val="restart"/>
            <w:vAlign w:val="center"/>
            <w:hideMark/>
          </w:tcPr>
          <w:p w:rsidR="00B5298C" w:rsidRPr="00F05CB1" w:rsidRDefault="00B5298C" w:rsidP="00B5298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484" w:type="pct"/>
            <w:vMerge w:val="restart"/>
            <w:vAlign w:val="center"/>
            <w:hideMark/>
          </w:tcPr>
          <w:p w:rsidR="00B5298C" w:rsidRPr="00F05CB1" w:rsidRDefault="00B5298C" w:rsidP="00B5298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Средние нормативы объема медицинской помощи</w:t>
            </w:r>
          </w:p>
          <w:p w:rsidR="00B5298C" w:rsidRPr="00F05CB1" w:rsidRDefault="002945D4" w:rsidP="00B5298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на 2025</w:t>
            </w:r>
            <w:bookmarkStart w:id="0" w:name="_GoBack"/>
            <w:bookmarkEnd w:id="0"/>
            <w:r w:rsidR="00B5298C" w:rsidRPr="00F05CB1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309" w:type="pct"/>
            <w:gridSpan w:val="3"/>
            <w:vAlign w:val="center"/>
            <w:hideMark/>
          </w:tcPr>
          <w:p w:rsidR="00B5298C" w:rsidRPr="00F05CB1" w:rsidRDefault="00B5298C" w:rsidP="00B5298C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vMerge/>
            <w:vAlign w:val="center"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97" w:type="pct"/>
            <w:vMerge/>
            <w:noWrap/>
            <w:vAlign w:val="center"/>
            <w:hideMark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74" w:type="pct"/>
            <w:vMerge/>
            <w:noWrap/>
            <w:vAlign w:val="center"/>
            <w:hideMark/>
          </w:tcPr>
          <w:p w:rsidR="00B5298C" w:rsidRPr="00F05CB1" w:rsidRDefault="00B5298C" w:rsidP="00B5298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4" w:type="pct"/>
            <w:vMerge/>
            <w:noWrap/>
            <w:vAlign w:val="center"/>
            <w:hideMark/>
          </w:tcPr>
          <w:p w:rsidR="00B5298C" w:rsidRPr="00F05CB1" w:rsidRDefault="00B5298C" w:rsidP="00B5298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B5298C" w:rsidRPr="00F05CB1" w:rsidRDefault="00B5298C" w:rsidP="00B5298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</w:p>
          <w:p w:rsidR="00B5298C" w:rsidRPr="00F05CB1" w:rsidRDefault="00B5298C" w:rsidP="00B5298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F05CB1" w:rsidRDefault="00B5298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97" w:type="pct"/>
            <w:noWrap/>
          </w:tcPr>
          <w:p w:rsidR="00B5298C" w:rsidRPr="00F05CB1" w:rsidRDefault="00B5298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4" w:type="pct"/>
            <w:noWrap/>
          </w:tcPr>
          <w:p w:rsidR="00B5298C" w:rsidRPr="00F05CB1" w:rsidRDefault="00B5298C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" w:type="pct"/>
            <w:noWrap/>
          </w:tcPr>
          <w:p w:rsidR="00B5298C" w:rsidRPr="00F05CB1" w:rsidRDefault="00B5298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" w:type="pct"/>
            <w:noWrap/>
          </w:tcPr>
          <w:p w:rsidR="00B5298C" w:rsidRPr="00F05CB1" w:rsidRDefault="00B5298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noWrap/>
          </w:tcPr>
          <w:p w:rsidR="00B5298C" w:rsidRPr="00F05CB1" w:rsidRDefault="00B5298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noWrap/>
          </w:tcPr>
          <w:p w:rsidR="00B5298C" w:rsidRPr="00F05CB1" w:rsidRDefault="00B5298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B5298C" w:rsidRPr="00F05CB1" w:rsidRDefault="00B5298C" w:rsidP="00B529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II. В рамках базовой программы обязательного медицинского страхования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1.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1.1 для проведения профилактических медицинских осмотров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0,266791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0,056226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0,206084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0,004481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 xml:space="preserve">1.2 для проведения диспансеризации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0,432393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0,092034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0,323037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0,017322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 xml:space="preserve">1.3 для проведения диспансеризации репродуктивного возраста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0,134681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0,028035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0,095595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0,011051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right="-108" w:hanging="357"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1.3 для посещений с иными целями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2,871476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0,825879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1,860260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0,185337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r>
              <w:t>1.4 в неотложной форме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0,641994852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0,08494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0,52127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0,03579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r w:rsidRPr="00B5298C">
              <w:t xml:space="preserve">1.5 в связи с заболеваниями - обращений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1,143086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0,17849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0,90951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0,05509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r>
              <w:t>1.6 отдельные диагностические исследования (</w:t>
            </w:r>
            <w:r w:rsidRPr="00B5298C">
              <w:t>без школ СД, ПЭТ/КТ И ОФЭКТ/КТ)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исследования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0,265944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0,043784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0,156102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0,066058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r>
              <w:t>1.6 диспансерное наблюдение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0,261736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0,059512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0,186078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0,016146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</w:t>
            </w:r>
            <w:r>
              <w:rPr>
                <w:color w:val="000000"/>
              </w:rPr>
              <w:lastRenderedPageBreak/>
              <w:t>медицинскими организациями (за исключением федеральных медицинских организаций) - всего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случай лечения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0,069719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0,01494073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0,04137034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0,01340793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3.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организаций)- всего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0,176499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0,032591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0,082292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0,061616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4. Медицинская реабилитация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 xml:space="preserve"> 4.1 в амбулаторных условиях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комплексных посещений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0,003241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0,002551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0,000690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4.2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случаев лечения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0,0002705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0,000241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0,000021</w:t>
            </w:r>
          </w:p>
        </w:tc>
      </w:tr>
      <w:tr w:rsidR="00B5298C" w:rsidRPr="00F05CB1" w:rsidTr="00B5298C">
        <w:trPr>
          <w:trHeight w:val="19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C" w:rsidRPr="00B5298C" w:rsidRDefault="00B5298C" w:rsidP="00B5298C">
            <w:pPr>
              <w:pStyle w:val="ab"/>
              <w:numPr>
                <w:ilvl w:val="0"/>
                <w:numId w:val="2"/>
              </w:numPr>
              <w:ind w:left="357" w:hanging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8C" w:rsidRDefault="00B5298C" w:rsidP="00B5298C">
            <w:pPr>
              <w:rPr>
                <w:color w:val="000000"/>
              </w:rPr>
            </w:pPr>
            <w:r>
              <w:rPr>
                <w:color w:val="000000"/>
              </w:rPr>
              <w:t>4.3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случаев госпитализации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0,005643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0,004615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98C" w:rsidRDefault="00B5298C" w:rsidP="00B52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0,000971</w:t>
            </w:r>
          </w:p>
        </w:tc>
      </w:tr>
    </w:tbl>
    <w:p w:rsidR="007650E4" w:rsidRPr="00A1625F" w:rsidRDefault="007650E4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78B5" w:rsidRDefault="00D578B5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625F" w:rsidRPr="00A1625F" w:rsidRDefault="00A1625F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921" w:rsidRPr="00A1625F" w:rsidRDefault="00EF1921" w:rsidP="00D578B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1625F">
        <w:rPr>
          <w:rFonts w:ascii="Times New Roman" w:hAnsi="Times New Roman" w:cs="Times New Roman"/>
          <w:sz w:val="28"/>
          <w:szCs w:val="28"/>
        </w:rPr>
        <w:t>_________</w:t>
      </w:r>
    </w:p>
    <w:sectPr w:rsidR="00EF1921" w:rsidRPr="00A1625F" w:rsidSect="00B1379E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F" w:rsidRDefault="00A6221F" w:rsidP="00515D01">
      <w:pPr>
        <w:spacing w:after="0" w:line="240" w:lineRule="auto"/>
      </w:pPr>
      <w:r>
        <w:separator/>
      </w:r>
    </w:p>
  </w:endnote>
  <w:endnote w:type="continuationSeparator" w:id="0">
    <w:p w:rsidR="00A6221F" w:rsidRDefault="00A6221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F" w:rsidRDefault="00A6221F" w:rsidP="00515D01">
      <w:pPr>
        <w:spacing w:after="0" w:line="240" w:lineRule="auto"/>
      </w:pPr>
      <w:r>
        <w:separator/>
      </w:r>
    </w:p>
  </w:footnote>
  <w:footnote w:type="continuationSeparator" w:id="0">
    <w:p w:rsidR="00A6221F" w:rsidRDefault="00A6221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5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4CA"/>
    <w:multiLevelType w:val="hybridMultilevel"/>
    <w:tmpl w:val="9CD4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B67CE"/>
    <w:multiLevelType w:val="hybridMultilevel"/>
    <w:tmpl w:val="174A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1BB9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1BD5"/>
    <w:rsid w:val="002573D6"/>
    <w:rsid w:val="002605AA"/>
    <w:rsid w:val="0026206F"/>
    <w:rsid w:val="002645CE"/>
    <w:rsid w:val="002767DE"/>
    <w:rsid w:val="00277E2F"/>
    <w:rsid w:val="00284880"/>
    <w:rsid w:val="00292A15"/>
    <w:rsid w:val="002945D4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4CBE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0D1E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668F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29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5F7FB4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9AF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48A4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1625F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221F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298C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631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4465"/>
    <w:rsid w:val="00D56444"/>
    <w:rsid w:val="00D5661F"/>
    <w:rsid w:val="00D573EE"/>
    <w:rsid w:val="00D578B5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211D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74E5A"/>
    <w:rsid w:val="00E81174"/>
    <w:rsid w:val="00E81B43"/>
    <w:rsid w:val="00E84B8F"/>
    <w:rsid w:val="00E86455"/>
    <w:rsid w:val="00E867FB"/>
    <w:rsid w:val="00E87934"/>
    <w:rsid w:val="00E9170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1921"/>
    <w:rsid w:val="00EF222C"/>
    <w:rsid w:val="00EF453C"/>
    <w:rsid w:val="00EF57C3"/>
    <w:rsid w:val="00F0266F"/>
    <w:rsid w:val="00F02B7C"/>
    <w:rsid w:val="00F05CB1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858F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EF19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298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529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208D-A466-4DF0-8148-EAEA33D6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15</cp:revision>
  <cp:lastPrinted>2019-11-14T02:26:00Z</cp:lastPrinted>
  <dcterms:created xsi:type="dcterms:W3CDTF">2022-12-12T10:39:00Z</dcterms:created>
  <dcterms:modified xsi:type="dcterms:W3CDTF">2024-12-03T01:39:00Z</dcterms:modified>
</cp:coreProperties>
</file>