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 </w:t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6675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2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left"/>
      </w:pPr>
      <w:r/>
      <w:r/>
    </w:p>
    <w:p>
      <w:pPr>
        <w:jc w:val="center"/>
      </w:pPr>
      <w:r>
        <w:rPr>
          <w:b/>
          <w:bCs/>
          <w:sz w:val="28"/>
          <w:szCs w:val="28"/>
        </w:rPr>
        <w:t xml:space="preserve">МИНИСТЕРСТВО ЗДРАВООХРАНЕНИЯ НОВОСИБИРСКОЙ ОБЛАСТИ</w:t>
      </w:r>
      <w:r/>
    </w:p>
    <w:p>
      <w:r/>
      <w:r/>
    </w:p>
    <w:p>
      <w:pPr>
        <w:jc w:val="center"/>
      </w:pPr>
      <w:r>
        <w:rPr>
          <w:b/>
          <w:spacing w:val="40"/>
          <w:sz w:val="28"/>
          <w:szCs w:val="28"/>
        </w:rPr>
        <w:t xml:space="preserve">ПРИКАЗ</w:t>
      </w:r>
      <w:r>
        <w:t xml:space="preserve"> </w:t>
      </w:r>
      <w:r/>
    </w:p>
    <w:p>
      <w:pPr>
        <w:jc w:val="center"/>
      </w:pPr>
      <w:r/>
      <w:r/>
    </w:p>
    <w:p>
      <w:pPr>
        <w:jc w:val="center"/>
      </w:pPr>
      <w:r>
        <w:t xml:space="preserve"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№__________________</w:t>
      </w:r>
      <w:r/>
    </w:p>
    <w:p>
      <w:pPr>
        <w:jc w:val="center"/>
      </w:pPr>
      <w:r>
        <w:rPr>
          <w:szCs w:val="28"/>
        </w:rPr>
        <w:t xml:space="preserve">г. Новосибирск</w:t>
      </w:r>
      <w:r/>
    </w:p>
    <w:p>
      <w:pPr>
        <w:pStyle w:val="997"/>
        <w:jc w:val="left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  <w:t xml:space="preserve">Об организации оказания медицинской помощи взрослому населению по профилю «фтизиатрия» в Новосибирской области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708"/>
        <w:jc w:val="both"/>
        <w:spacing w:after="0" w:afterAutospacing="0" w:line="240" w:lineRule="auto"/>
        <w:rPr>
          <w:rStyle w:val="1010"/>
          <w:rFonts w:eastAsiaTheme="minorHAnsi"/>
          <w:b w:val="0"/>
          <w:bCs w:val="0"/>
        </w:rPr>
      </w:pPr>
      <w:r>
        <w:rPr>
          <w:rStyle w:val="1010"/>
          <w:rFonts w:eastAsiaTheme="minorHAnsi"/>
          <w:b/>
          <w:bCs/>
          <w:highlight w:val="none"/>
        </w:rPr>
      </w:r>
      <w:r>
        <w:rPr>
          <w:rStyle w:val="1010"/>
          <w:rFonts w:eastAsiaTheme="minorHAnsi"/>
          <w:b w:val="0"/>
          <w:bCs w:val="0"/>
        </w:rPr>
      </w:r>
      <w:r>
        <w:rPr>
          <w:rStyle w:val="1010"/>
          <w:rFonts w:eastAsiaTheme="minorHAnsi"/>
          <w:b w:val="0"/>
          <w:bCs w:val="0"/>
        </w:rPr>
      </w:r>
    </w:p>
    <w:p>
      <w:pPr>
        <w:ind w:firstLine="708"/>
        <w:jc w:val="both"/>
        <w:spacing w:after="0" w:afterAutospacing="0" w:line="240" w:lineRule="auto"/>
        <w:rPr>
          <w:rStyle w:val="1010"/>
          <w:rFonts w:eastAsiaTheme="minorHAnsi"/>
          <w:b/>
          <w:bCs/>
          <w:highlight w:val="none"/>
        </w:rPr>
      </w:pPr>
      <w:r>
        <w:rPr>
          <w:rStyle w:val="1010"/>
          <w:rFonts w:eastAsiaTheme="minorHAnsi"/>
          <w:b/>
          <w:bCs/>
          <w:highlight w:val="none"/>
        </w:rPr>
      </w:r>
      <w:r>
        <w:rPr>
          <w:rStyle w:val="1010"/>
          <w:rFonts w:eastAsiaTheme="minorHAnsi"/>
          <w:b/>
          <w:bCs/>
          <w:highlight w:val="none"/>
        </w:rPr>
      </w:r>
      <w:r>
        <w:rPr>
          <w:rStyle w:val="1010"/>
          <w:rFonts w:eastAsiaTheme="minorHAnsi"/>
          <w:b/>
          <w:bCs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Style w:val="1010"/>
          <w:rFonts w:eastAsiaTheme="minorHAnsi"/>
          <w:b/>
          <w:bCs/>
          <w:highlight w:val="none"/>
        </w:rPr>
      </w:pPr>
      <w:r>
        <w:rPr>
          <w:rStyle w:val="1011"/>
          <w:rFonts w:eastAsiaTheme="minorHAnsi"/>
          <w:sz w:val="28"/>
          <w:szCs w:val="28"/>
        </w:rPr>
        <w:t xml:space="preserve">В целях своевременного выявления туберкулеза, </w:t>
      </w:r>
      <w:r>
        <w:rPr>
          <w:rStyle w:val="1011"/>
          <w:rFonts w:eastAsiaTheme="minorHAnsi"/>
          <w:sz w:val="28"/>
          <w:szCs w:val="28"/>
        </w:rPr>
        <w:t xml:space="preserve">повышения качества, доступности</w:t>
      </w:r>
      <w:r>
        <w:rPr>
          <w:rStyle w:val="1011"/>
          <w:rFonts w:eastAsiaTheme="minorHAnsi"/>
          <w:sz w:val="28"/>
          <w:szCs w:val="28"/>
        </w:rPr>
        <w:t xml:space="preserve"> оказания медицинской помощи взрослому населению по профилю «фтизиатрия» в медицинских органи</w:t>
      </w:r>
      <w:r>
        <w:rPr>
          <w:rStyle w:val="1011"/>
          <w:rFonts w:eastAsiaTheme="minorHAnsi"/>
          <w:b w:val="0"/>
          <w:bCs w:val="0"/>
          <w:sz w:val="28"/>
          <w:szCs w:val="28"/>
        </w:rPr>
        <w:t xml:space="preserve">зациях Новосибирской области, </w:t>
      </w:r>
      <w:r>
        <w:rPr>
          <w:rStyle w:val="1010"/>
          <w:rFonts w:eastAsiaTheme="minorHAnsi"/>
          <w:b/>
          <w:bCs/>
          <w:sz w:val="28"/>
          <w:szCs w:val="28"/>
        </w:rPr>
        <w:t xml:space="preserve">приказываю:</w:t>
      </w:r>
      <w:r>
        <w:rPr>
          <w:rStyle w:val="1010"/>
          <w:rFonts w:eastAsiaTheme="minorHAnsi"/>
          <w:b/>
          <w:bCs/>
          <w:highlight w:val="none"/>
        </w:rPr>
      </w:r>
      <w:r>
        <w:rPr>
          <w:rStyle w:val="1010"/>
          <w:rFonts w:eastAsiaTheme="minorHAnsi"/>
          <w:b/>
          <w:bCs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b w:val="0"/>
          <w:bCs w:val="0"/>
        </w:rPr>
      </w:pPr>
      <w:r>
        <w:rPr>
          <w:rStyle w:val="1010"/>
          <w:rFonts w:eastAsiaTheme="minorHAnsi"/>
          <w:b w:val="0"/>
          <w:bCs w:val="0"/>
          <w:sz w:val="28"/>
          <w:szCs w:val="28"/>
        </w:rPr>
        <w:t xml:space="preserve">1. </w:t>
      </w:r>
      <w:r>
        <w:rPr>
          <w:rStyle w:val="1011"/>
          <w:rFonts w:eastAsiaTheme="minorHAnsi"/>
          <w:b w:val="0"/>
          <w:bCs w:val="0"/>
          <w:sz w:val="28"/>
          <w:szCs w:val="28"/>
        </w:rPr>
        <w:t xml:space="preserve">Утвердить прилагаемые: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sz w:val="28"/>
          <w:szCs w:val="28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схему маршрутизации оказания медицинской помощи гражданам старше 18 лет, проживающим на территории Новосибирской области, по профилю «фтизиатрия»;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eastAsiaTheme="minorHAnsi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перечень медицинских организаций и их структурных подразделений, участвующих в оказании медицинской помощи гражданам старше 18 лет, проживающим на территории Новосибирской области, по профилю «фтизиатрия» в амбулаторных условиях;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перечень медицинских организаций и их структурных подразделений, участвующих в оказании медицинской помощи гражданам старше 18 лет, проживающим на территории Новосибирской области, по профилю «фтизиатрии» в условиях стационара.</w:t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перечень медицинских организаций и их структурных подразделений, участвующих в оказании медицинской помощи гражданам старше 18 лет, проживающим на территории Новосибирской области, по профилю «фтизиатрии» в условиях дневного стационара.</w:t>
      </w:r>
      <w:r>
        <w:rPr>
          <w:rStyle w:val="1011"/>
          <w:rFonts w:eastAsiaTheme="minorHAnsi"/>
          <w:sz w:val="28"/>
          <w:szCs w:val="28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ascii="Times New Roman" w:hAnsi="Times New Roman" w:eastAsia="Calibri" w:cs="Times New Roman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направления на госпитализацию в стационары фтизиатрического профиля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801"/>
        <w:numPr>
          <w:ilvl w:val="0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ascii="Times New Roman" w:hAnsi="Times New Roman" w:eastAsia="Calibri" w:cs="Times New Roman"/>
        </w:rPr>
        <w:suppressLineNumbers w:val="0"/>
      </w:pPr>
      <w:r>
        <w:rPr>
          <w:rStyle w:val="1011"/>
          <w:rFonts w:eastAsiaTheme="minorHAnsi"/>
          <w:sz w:val="28"/>
          <w:szCs w:val="28"/>
        </w:rPr>
      </w:r>
      <w:r>
        <w:rPr>
          <w:rStyle w:val="1011"/>
          <w:rFonts w:eastAsiaTheme="minorHAnsi"/>
          <w:sz w:val="28"/>
          <w:szCs w:val="28"/>
        </w:rPr>
        <w:t xml:space="preserve">Главным врачам государственных медицинских организаций Новосибирской области в целях своевременного выявления туберкулеза обеспечить</w:t>
      </w:r>
      <w:r>
        <w:rPr>
          <w:rStyle w:val="1011"/>
          <w:rFonts w:eastAsiaTheme="minorHAnsi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при подозрении или выявлении туберкулеза проведение консультации врача-фтизиатра не позднее, чем через 72 часа с момента выдачи направления на консультацию;</w:t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</w:p>
    <w:p>
      <w:pPr>
        <w:pStyle w:val="801"/>
        <w:numPr>
          <w:ilvl w:val="1"/>
          <w:numId w:val="18"/>
        </w:numPr>
        <w:contextualSpacing w:val="0"/>
        <w:ind w:left="0" w:firstLine="709"/>
        <w:jc w:val="both"/>
        <w:spacing w:after="0" w:afterAutospacing="0" w:line="240" w:lineRule="auto"/>
        <w:widowControl w:val="off"/>
        <w:tabs>
          <w:tab w:val="left" w:pos="1028" w:leader="none"/>
        </w:tabs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организацию врачом-фтизиатром в течение 3 рабочих дней с момента установления предварительного диагноза туберкулеза дополнительного обследования пациента с учетом клинических рекомендаций (в том числе, </w:t>
      </w:r>
      <w:r>
        <w:rPr>
          <w:rStyle w:val="1011"/>
          <w:rFonts w:eastAsiaTheme="minorHAnsi"/>
          <w:sz w:val="28"/>
          <w:szCs w:val="28"/>
        </w:rPr>
        <w:t xml:space="preserve">направления материала для проведения молекулярно-генетической диагностики туберкулеза); </w:t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  <w:r>
        <w:rPr>
          <w:rFonts w:asciiTheme="minorHAnsi" w:hAnsiTheme="minorHAnsi" w:eastAsiaTheme="minorHAnsi" w:cstheme="minorBidi"/>
          <w:color w:val="auto"/>
          <w:sz w:val="22"/>
          <w:szCs w:val="22"/>
          <w:shd w:val="clear" w:color="auto" w:fill="auto"/>
        </w:rPr>
      </w:r>
    </w:p>
    <w:p>
      <w:pPr>
        <w:pStyle w:val="801"/>
        <w:numPr>
          <w:ilvl w:val="1"/>
          <w:numId w:val="18"/>
        </w:numPr>
        <w:contextualSpacing w:val="0"/>
        <w:ind w:left="0" w:firstLine="709"/>
        <w:jc w:val="both"/>
        <w:spacing w:after="0" w:afterAutospacing="0" w:line="240" w:lineRule="auto"/>
        <w:widowControl w:val="off"/>
        <w:tabs>
          <w:tab w:val="left" w:pos="1028" w:leader="none"/>
        </w:tabs>
        <w:rPr>
          <w:rFonts w:eastAsiaTheme="minorHAnsi"/>
          <w:color w:val="auto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направление врачом-фтизиатром в течение </w:t>
      </w:r>
      <w:r>
        <w:rPr>
          <w:rStyle w:val="1011"/>
          <w:rFonts w:eastAsiaTheme="minorHAnsi"/>
          <w:sz w:val="28"/>
          <w:szCs w:val="28"/>
        </w:rPr>
        <w:t xml:space="preserve">10</w:t>
      </w:r>
      <w:r>
        <w:rPr>
          <w:rStyle w:val="1011"/>
          <w:rFonts w:eastAsiaTheme="minorHAnsi"/>
          <w:sz w:val="28"/>
          <w:szCs w:val="28"/>
        </w:rPr>
        <w:t xml:space="preserve"> </w:t>
      </w:r>
      <w:r>
        <w:rPr>
          <w:rStyle w:val="1011"/>
          <w:rFonts w:eastAsiaTheme="minorHAnsi"/>
          <w:color w:val="auto"/>
          <w:sz w:val="28"/>
          <w:szCs w:val="28"/>
        </w:rPr>
        <w:t xml:space="preserve">рабочих дней</w:t>
      </w:r>
      <w:r>
        <w:rPr>
          <w:rStyle w:val="1011"/>
          <w:rFonts w:eastAsiaTheme="minorHAnsi"/>
          <w:color w:val="auto"/>
          <w:sz w:val="28"/>
          <w:szCs w:val="28"/>
        </w:rPr>
        <w:t xml:space="preserve">,</w:t>
      </w:r>
      <w:r>
        <w:rPr>
          <w:rStyle w:val="1011"/>
          <w:rFonts w:eastAsiaTheme="minorHAnsi"/>
          <w:color w:val="auto"/>
          <w:sz w:val="28"/>
          <w:szCs w:val="28"/>
        </w:rPr>
        <w:t xml:space="preserve"> </w:t>
      </w:r>
      <w:r>
        <w:rPr>
          <w:rStyle w:val="1011"/>
          <w:rFonts w:eastAsiaTheme="minorHAnsi"/>
          <w:color w:val="auto"/>
          <w:sz w:val="28"/>
          <w:szCs w:val="28"/>
        </w:rPr>
        <w:t xml:space="preserve">с момента обращения пациента в противотуберкулезную медицинскую организацию, </w:t>
      </w:r>
      <w:r>
        <w:rPr>
          <w:rStyle w:val="1011"/>
          <w:rFonts w:eastAsiaTheme="minorHAnsi"/>
          <w:color w:val="auto"/>
          <w:sz w:val="28"/>
          <w:szCs w:val="28"/>
        </w:rPr>
        <w:t xml:space="preserve">медицинской документации пациента для подтверждения и/или снятия диагноза активного туберкулеза, а также для определения тактики дальнейшего наблюде</w:t>
      </w:r>
      <w:r>
        <w:rPr>
          <w:rStyle w:val="1011"/>
          <w:rFonts w:eastAsiaTheme="minorHAnsi"/>
          <w:color w:val="auto"/>
          <w:sz w:val="28"/>
          <w:szCs w:val="28"/>
        </w:rPr>
        <w:t xml:space="preserve">ния и лечения в центральную врачебную контрольную комиссию (далее - ЦВКК)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 (далее - ГБУЗ НСО «ГОНКТБ»);</w:t>
      </w:r>
      <w:r>
        <w:rPr>
          <w:rFonts w:eastAsiaTheme="minorHAnsi"/>
          <w:color w:val="auto"/>
        </w:rPr>
      </w:r>
      <w:r>
        <w:rPr>
          <w:rFonts w:eastAsiaTheme="minorHAnsi"/>
          <w:color w:val="auto"/>
        </w:rPr>
      </w:r>
    </w:p>
    <w:p>
      <w:pPr>
        <w:pStyle w:val="801"/>
        <w:numPr>
          <w:ilvl w:val="1"/>
          <w:numId w:val="18"/>
        </w:numPr>
        <w:contextualSpacing w:val="0"/>
        <w:ind w:left="0" w:firstLine="709"/>
        <w:jc w:val="both"/>
        <w:spacing w:after="0" w:afterAutospacing="0" w:line="240" w:lineRule="auto"/>
        <w:widowControl w:val="off"/>
        <w:tabs>
          <w:tab w:val="left" w:pos="1028" w:leader="none"/>
        </w:tabs>
        <w:rPr>
          <w:rStyle w:val="1011"/>
          <w:rFonts w:eastAsiaTheme="minorHAnsi"/>
          <w:color w:val="auto"/>
          <w:sz w:val="28"/>
          <w:szCs w:val="28"/>
        </w:rPr>
        <w:suppressLineNumbers w:val="0"/>
      </w:pPr>
      <w:r>
        <w:rPr>
          <w:rStyle w:val="1011"/>
          <w:rFonts w:eastAsiaTheme="minorHAnsi"/>
          <w:color w:val="auto"/>
          <w:sz w:val="28"/>
          <w:szCs w:val="28"/>
        </w:rPr>
        <w:t xml:space="preserve">направление пациентов в медицинские организации, оказывающие специализированную медицинскую помощь по профилю «фтизиатрия», в течение 3 рабочих дней после подтверждения диагноза: Туберкулез.</w:t>
      </w:r>
      <w:r>
        <w:rPr>
          <w:rStyle w:val="1011"/>
          <w:rFonts w:eastAsiaTheme="minorHAnsi"/>
          <w:color w:val="auto"/>
          <w:sz w:val="28"/>
          <w:szCs w:val="28"/>
        </w:rPr>
      </w:r>
      <w:r>
        <w:rPr>
          <w:rStyle w:val="1011"/>
          <w:rFonts w:eastAsiaTheme="minorHAnsi"/>
          <w:color w:val="auto"/>
          <w:sz w:val="28"/>
          <w:szCs w:val="28"/>
        </w:rPr>
      </w:r>
    </w:p>
    <w:p>
      <w:pPr>
        <w:pStyle w:val="801"/>
        <w:numPr>
          <w:ilvl w:val="0"/>
          <w:numId w:val="18"/>
        </w:numPr>
        <w:contextualSpacing w:val="0"/>
        <w:ind w:left="0" w:firstLine="709"/>
        <w:jc w:val="both"/>
        <w:spacing w:after="0" w:afterAutospacing="0" w:line="240" w:lineRule="auto"/>
        <w:widowControl w:val="off"/>
        <w:tabs>
          <w:tab w:val="left" w:pos="1028" w:leader="none"/>
        </w:tabs>
        <w:rPr>
          <w:sz w:val="28"/>
          <w:szCs w:val="28"/>
        </w:rPr>
        <w:suppressLineNumbers w:val="0"/>
      </w:pPr>
      <w:r>
        <w:rPr>
          <w:rStyle w:val="1011"/>
          <w:rFonts w:eastAsiaTheme="minorHAnsi"/>
          <w:color w:val="auto"/>
          <w:sz w:val="28"/>
          <w:szCs w:val="28"/>
        </w:rPr>
      </w:r>
      <w:r>
        <w:rPr>
          <w:rStyle w:val="1011"/>
          <w:rFonts w:eastAsiaTheme="minorHAnsi"/>
          <w:color w:val="auto"/>
          <w:sz w:val="28"/>
          <w:szCs w:val="28"/>
        </w:rPr>
        <w:t xml:space="preserve">Главному врачу ГБУЗ НСО «ГОНКТБ» Пятибратовой А.В.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eastAsiaTheme="minorHAnsi"/>
          <w:color w:val="auto"/>
        </w:rPr>
        <w:suppressLineNumbers w:val="0"/>
      </w:pPr>
      <w:r>
        <w:rPr>
          <w:rStyle w:val="1011"/>
          <w:rFonts w:eastAsiaTheme="minorHAnsi"/>
          <w:color w:val="auto"/>
          <w:sz w:val="28"/>
          <w:szCs w:val="28"/>
        </w:rPr>
        <w:t xml:space="preserve"> рассмотрение на ЦВКК представленной медицинской документации пациентов в течение 3 рабочих дней</w:t>
      </w:r>
      <w:r>
        <w:rPr>
          <w:rStyle w:val="1011"/>
          <w:rFonts w:eastAsiaTheme="minorHAnsi"/>
          <w:color w:val="auto"/>
          <w:sz w:val="28"/>
          <w:szCs w:val="28"/>
        </w:rPr>
        <w:t xml:space="preserve"> после ее получения</w:t>
      </w:r>
      <w:r>
        <w:rPr>
          <w:rStyle w:val="1011"/>
          <w:rFonts w:eastAsiaTheme="minorHAnsi"/>
          <w:color w:val="auto"/>
          <w:sz w:val="28"/>
          <w:szCs w:val="28"/>
        </w:rPr>
        <w:t xml:space="preserve">, в том числе в режиме телемедицинских консультаций.</w:t>
      </w:r>
      <w:r>
        <w:rPr>
          <w:rFonts w:eastAsiaTheme="minorHAnsi"/>
          <w:color w:val="auto"/>
        </w:rPr>
      </w:r>
      <w:r>
        <w:rPr>
          <w:rFonts w:eastAsiaTheme="minorHAnsi"/>
          <w:color w:val="auto"/>
        </w:rPr>
      </w:r>
    </w:p>
    <w:p>
      <w:pPr>
        <w:pStyle w:val="801"/>
        <w:numPr>
          <w:ilvl w:val="1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eastAsiaTheme="minorHAnsi"/>
          <w:color w:val="auto"/>
        </w:rPr>
        <w:suppressLineNumbers w:val="0"/>
      </w:pPr>
      <w:r>
        <w:rPr>
          <w:rStyle w:val="1011"/>
          <w:rFonts w:eastAsiaTheme="minorHAnsi"/>
          <w:color w:val="auto"/>
          <w:sz w:val="28"/>
          <w:szCs w:val="28"/>
        </w:rPr>
        <w:t xml:space="preserve">контроль своевременности госпитализации пациентов в соответствии с чувствительностью возбудителя </w:t>
      </w:r>
      <w:r>
        <w:rPr>
          <w:rFonts w:eastAsiaTheme="minorHAnsi"/>
          <w:color w:val="auto"/>
        </w:rPr>
      </w:r>
      <w:r>
        <w:rPr>
          <w:rFonts w:eastAsiaTheme="minorHAnsi"/>
          <w:color w:val="auto"/>
        </w:rPr>
      </w:r>
    </w:p>
    <w:p>
      <w:pPr>
        <w:pStyle w:val="801"/>
        <w:numPr>
          <w:ilvl w:val="0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eastAsiaTheme="minorHAnsi"/>
        </w:rPr>
        <w:suppressLineNumbers w:val="0"/>
      </w:pPr>
      <w:r>
        <w:rPr>
          <w:rStyle w:val="1011"/>
          <w:rFonts w:eastAsiaTheme="minorHAnsi"/>
          <w:color w:val="auto"/>
          <w:sz w:val="28"/>
          <w:szCs w:val="28"/>
        </w:rPr>
        <w:t xml:space="preserve">Признать утратившим силу приказ министерства здравоохранения Новосибирской области от </w:t>
      </w:r>
      <w:r>
        <w:rPr>
          <w:rStyle w:val="1011"/>
          <w:rFonts w:eastAsiaTheme="minorHAnsi"/>
          <w:color w:val="auto"/>
          <w:sz w:val="28"/>
          <w:szCs w:val="28"/>
        </w:rPr>
        <w:t xml:space="preserve">21.03.2019</w:t>
      </w:r>
      <w:r>
        <w:rPr>
          <w:rStyle w:val="1011"/>
          <w:rFonts w:eastAsiaTheme="minorHAnsi"/>
          <w:color w:val="auto"/>
          <w:sz w:val="28"/>
          <w:szCs w:val="28"/>
        </w:rPr>
        <w:t xml:space="preserve"> № </w:t>
      </w:r>
      <w:r>
        <w:rPr>
          <w:rStyle w:val="1011"/>
          <w:rFonts w:eastAsiaTheme="minorHAnsi"/>
          <w:color w:val="auto"/>
          <w:sz w:val="28"/>
          <w:szCs w:val="28"/>
        </w:rPr>
        <w:t xml:space="preserve">897</w:t>
      </w:r>
      <w:r>
        <w:rPr>
          <w:rStyle w:val="1011"/>
          <w:rFonts w:eastAsiaTheme="minorHAnsi"/>
          <w:color w:val="auto"/>
          <w:sz w:val="28"/>
          <w:szCs w:val="28"/>
        </w:rPr>
        <w:t xml:space="preserve"> «</w:t>
      </w:r>
      <w:r>
        <w:rPr>
          <w:rStyle w:val="1011"/>
          <w:rFonts w:eastAsiaTheme="minorHAnsi"/>
          <w:color w:val="auto"/>
          <w:sz w:val="28"/>
          <w:szCs w:val="28"/>
        </w:rPr>
        <w:t xml:space="preserve">Об организации оказания медицинс</w:t>
      </w:r>
      <w:r>
        <w:rPr>
          <w:rStyle w:val="1011"/>
          <w:rFonts w:eastAsiaTheme="minorHAnsi"/>
          <w:sz w:val="28"/>
          <w:szCs w:val="28"/>
        </w:rPr>
        <w:t xml:space="preserve">кой помощи взрослому населению по профилю «фтизиатрия» в Новосибирской области</w:t>
      </w:r>
      <w:r>
        <w:rPr>
          <w:rStyle w:val="1011"/>
          <w:rFonts w:eastAsiaTheme="minorHAnsi"/>
          <w:sz w:val="28"/>
          <w:szCs w:val="28"/>
        </w:rPr>
        <w:t xml:space="preserve">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01"/>
        <w:numPr>
          <w:ilvl w:val="0"/>
          <w:numId w:val="18"/>
        </w:numPr>
        <w:ind w:left="0" w:firstLine="709"/>
        <w:jc w:val="both"/>
        <w:spacing w:after="0" w:afterAutospacing="0" w:line="240" w:lineRule="auto"/>
        <w:tabs>
          <w:tab w:val="left" w:pos="1028" w:leader="none"/>
        </w:tabs>
        <w:rPr>
          <w:rFonts w:eastAsiaTheme="minorHAnsi"/>
        </w:rPr>
        <w:suppressLineNumbers w:val="0"/>
      </w:pPr>
      <w:r>
        <w:rPr>
          <w:rStyle w:val="1011"/>
          <w:rFonts w:eastAsiaTheme="minorHAnsi"/>
          <w:sz w:val="28"/>
          <w:szCs w:val="28"/>
        </w:rPr>
        <w:t xml:space="preserve">Контроль исполнения настоящего приказа возложить на заместителя министра здравоохранения Новосибирской области Аксенову Е.А.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  <w:t xml:space="preserve">Министр                                                                                                Р.М. Заблоцкий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18"/>
          <w:highlight w:val="none"/>
        </w:rPr>
        <w:t xml:space="preserve">О.В. Беушева</w:t>
      </w: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jc w:val="both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18"/>
          <w:highlight w:val="none"/>
        </w:rPr>
        <w:t xml:space="preserve">238 63 55</w:t>
      </w: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1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pStyle w:val="968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russianLower"/>
      <w:isLgl w:val="false"/>
      <w:suff w:val="tab"/>
      <w:lvlText w:val="%2)"/>
      <w:lvlJc w:val="left"/>
      <w:pPr>
        <w:ind w:left="792" w:hanging="432"/>
      </w:pPr>
      <w:rPr>
        <w:rFonts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rPr>
      <w:sz w:val="24"/>
      <w:szCs w:val="24"/>
    </w:rPr>
  </w:style>
  <w:style w:type="paragraph" w:styleId="747">
    <w:name w:val="Heading 1"/>
    <w:basedOn w:val="746"/>
    <w:next w:val="746"/>
    <w:link w:val="962"/>
    <w:qFormat/>
    <w:pPr>
      <w:jc w:val="center"/>
      <w:keepNext/>
      <w:outlineLvl w:val="0"/>
    </w:pPr>
    <w:rPr>
      <w:b/>
      <w:bCs/>
      <w:szCs w:val="20"/>
    </w:rPr>
  </w:style>
  <w:style w:type="paragraph" w:styleId="748">
    <w:name w:val="Heading 2"/>
    <w:basedOn w:val="746"/>
    <w:next w:val="746"/>
    <w:link w:val="963"/>
    <w:qFormat/>
    <w:pPr>
      <w:jc w:val="center"/>
      <w:keepNext/>
      <w:outlineLvl w:val="1"/>
    </w:pPr>
    <w:rPr>
      <w:szCs w:val="20"/>
    </w:rPr>
  </w:style>
  <w:style w:type="paragraph" w:styleId="749">
    <w:name w:val="Heading 3"/>
    <w:basedOn w:val="746"/>
    <w:next w:val="746"/>
    <w:link w:val="7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0">
    <w:name w:val="Heading 4"/>
    <w:basedOn w:val="746"/>
    <w:next w:val="746"/>
    <w:link w:val="79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1">
    <w:name w:val="Heading 5"/>
    <w:basedOn w:val="746"/>
    <w:next w:val="746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table" w:styleId="759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7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uiPriority w:val="10"/>
    <w:rPr>
      <w:sz w:val="48"/>
      <w:szCs w:val="48"/>
    </w:rPr>
  </w:style>
  <w:style w:type="character" w:styleId="786" w:customStyle="1">
    <w:name w:val="Subtitle Char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Header Char"/>
    <w:basedOn w:val="756"/>
    <w:uiPriority w:val="99"/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46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02">
    <w:name w:val="No Spacing"/>
    <w:uiPriority w:val="1"/>
    <w:qFormat/>
    <w:rPr>
      <w:lang w:eastAsia="zh-CN"/>
    </w:rPr>
  </w:style>
  <w:style w:type="paragraph" w:styleId="803">
    <w:name w:val="Title"/>
    <w:basedOn w:val="746"/>
    <w:next w:val="746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46"/>
    <w:next w:val="746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46"/>
    <w:next w:val="746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46"/>
    <w:next w:val="746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46"/>
    <w:link w:val="812"/>
    <w:uiPriority w:val="99"/>
    <w:pPr>
      <w:tabs>
        <w:tab w:val="center" w:pos="4677" w:leader="none"/>
        <w:tab w:val="right" w:pos="9355" w:leader="none"/>
      </w:tabs>
    </w:pPr>
  </w:style>
  <w:style w:type="character" w:styleId="812" w:customStyle="1">
    <w:name w:val="Верхний колонтитул Знак"/>
    <w:link w:val="811"/>
    <w:uiPriority w:val="99"/>
  </w:style>
  <w:style w:type="paragraph" w:styleId="813">
    <w:name w:val="Footer"/>
    <w:basedOn w:val="746"/>
    <w:link w:val="992"/>
    <w:pPr>
      <w:tabs>
        <w:tab w:val="center" w:pos="4677" w:leader="none"/>
        <w:tab w:val="right" w:pos="9355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57"/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link w:val="99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rPr>
      <w:color w:val="0000ff"/>
      <w:u w:val="single"/>
    </w:rPr>
  </w:style>
  <w:style w:type="paragraph" w:styleId="944">
    <w:name w:val="footnote text"/>
    <w:basedOn w:val="746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4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46"/>
    <w:next w:val="746"/>
    <w:uiPriority w:val="39"/>
    <w:unhideWhenUsed/>
    <w:pPr>
      <w:spacing w:after="57"/>
    </w:pPr>
  </w:style>
  <w:style w:type="paragraph" w:styleId="951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52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53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54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55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56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57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58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46"/>
    <w:next w:val="746"/>
    <w:uiPriority w:val="99"/>
    <w:unhideWhenUsed/>
  </w:style>
  <w:style w:type="paragraph" w:styleId="961">
    <w:name w:val="Body Text"/>
    <w:basedOn w:val="746"/>
    <w:link w:val="988"/>
    <w:pPr>
      <w:spacing w:after="120"/>
    </w:pPr>
  </w:style>
  <w:style w:type="character" w:styleId="962" w:customStyle="1">
    <w:name w:val="Заголовок 1 Знак"/>
    <w:link w:val="747"/>
    <w:rPr>
      <w:b/>
      <w:bCs/>
      <w:sz w:val="24"/>
      <w:lang w:val="ru-RU" w:eastAsia="ru-RU" w:bidi="ar-SA"/>
    </w:rPr>
  </w:style>
  <w:style w:type="character" w:styleId="963" w:customStyle="1">
    <w:name w:val="Заголовок 2 Знак"/>
    <w:link w:val="748"/>
    <w:semiHidden/>
    <w:rPr>
      <w:sz w:val="24"/>
      <w:lang w:val="ru-RU" w:eastAsia="ru-RU" w:bidi="ar-SA"/>
    </w:rPr>
  </w:style>
  <w:style w:type="paragraph" w:styleId="964" w:customStyle="1">
    <w:name w:val="Название1"/>
    <w:basedOn w:val="746"/>
    <w:link w:val="965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65" w:customStyle="1">
    <w:name w:val="Знак Знак2"/>
    <w:link w:val="964"/>
    <w:rPr>
      <w:rFonts w:ascii="Courier New" w:hAnsi="Courier New" w:cs="Courier New"/>
      <w:lang w:val="ru-RU" w:eastAsia="ru-RU" w:bidi="ar-SA"/>
    </w:rPr>
  </w:style>
  <w:style w:type="paragraph" w:styleId="966" w:customStyle="1">
    <w:name w:val="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>
    <w:name w:val="Normal (Web)"/>
    <w:basedOn w:val="746"/>
    <w:uiPriority w:val="99"/>
    <w:pPr>
      <w:spacing w:after="240"/>
    </w:pPr>
  </w:style>
  <w:style w:type="paragraph" w:styleId="968" w:customStyle="1">
    <w:name w:val="body text Знак Знак"/>
    <w:link w:val="969"/>
    <w:pPr>
      <w:numPr>
        <w:ilvl w:val="0"/>
        <w:numId w:val="4"/>
      </w:numPr>
      <w:jc w:val="both"/>
    </w:pPr>
    <w:rPr>
      <w:sz w:val="24"/>
      <w:szCs w:val="24"/>
    </w:rPr>
  </w:style>
  <w:style w:type="character" w:styleId="969" w:customStyle="1">
    <w:name w:val="body text Знак Знак Знак1"/>
    <w:link w:val="968"/>
    <w:rPr>
      <w:sz w:val="24"/>
      <w:szCs w:val="24"/>
      <w:lang w:val="ru-RU" w:eastAsia="ru-RU" w:bidi="ar-SA"/>
    </w:rPr>
  </w:style>
  <w:style w:type="paragraph" w:styleId="970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71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72">
    <w:name w:val="Body Text Indent 2"/>
    <w:basedOn w:val="746"/>
    <w:link w:val="973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973" w:customStyle="1">
    <w:name w:val="Основной текст с отступом 2 Знак"/>
    <w:link w:val="972"/>
    <w:rPr>
      <w:sz w:val="28"/>
      <w:lang w:val="ru-RU" w:eastAsia="ru-RU" w:bidi="ar-SA"/>
    </w:rPr>
  </w:style>
  <w:style w:type="character" w:styleId="974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975" w:customStyle="1">
    <w:name w:val="Наименование таблицы Знак"/>
    <w:next w:val="746"/>
    <w:pPr>
      <w:jc w:val="center"/>
    </w:pPr>
    <w:rPr>
      <w:b/>
      <w:sz w:val="22"/>
    </w:rPr>
  </w:style>
  <w:style w:type="paragraph" w:styleId="976" w:customStyle="1">
    <w:name w:val="Знак1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Основной текст гд"/>
    <w:basedOn w:val="961"/>
    <w:pPr>
      <w:jc w:val="center"/>
      <w:keepNext/>
      <w:spacing w:after="0"/>
      <w:widowControl w:val="off"/>
    </w:pPr>
    <w:rPr>
      <w:sz w:val="22"/>
    </w:rPr>
  </w:style>
  <w:style w:type="character" w:styleId="978">
    <w:name w:val="page number"/>
    <w:basedOn w:val="756"/>
  </w:style>
  <w:style w:type="paragraph" w:styleId="979" w:customStyle="1">
    <w:name w:val="ConsPlusNormal"/>
    <w:rPr>
      <w:rFonts w:ascii="Arial" w:hAnsi="Arial" w:eastAsia="MS Mincho" w:cs="Arial"/>
      <w:lang w:eastAsia="ja-JP"/>
    </w:rPr>
  </w:style>
  <w:style w:type="paragraph" w:styleId="980">
    <w:name w:val="Body Text Indent"/>
    <w:basedOn w:val="746"/>
    <w:pPr>
      <w:ind w:left="283"/>
      <w:spacing w:after="120"/>
    </w:pPr>
  </w:style>
  <w:style w:type="paragraph" w:styleId="981" w:customStyle="1">
    <w:name w:val="Heading"/>
    <w:rPr>
      <w:rFonts w:ascii="Arial" w:hAnsi="Arial" w:cs="Arial"/>
      <w:b/>
      <w:bCs/>
      <w:sz w:val="22"/>
      <w:szCs w:val="22"/>
    </w:rPr>
  </w:style>
  <w:style w:type="paragraph" w:styleId="982">
    <w:name w:val="Body Text Indent 3"/>
    <w:basedOn w:val="746"/>
    <w:pPr>
      <w:ind w:left="5760"/>
    </w:pPr>
  </w:style>
  <w:style w:type="paragraph" w:styleId="983" w:customStyle="1">
    <w:name w:val="Знак Знак 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1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>
    <w:name w:val="Note Heading"/>
    <w:basedOn w:val="746"/>
    <w:next w:val="746"/>
    <w:pPr>
      <w:jc w:val="both"/>
    </w:pPr>
    <w:rPr>
      <w:szCs w:val="20"/>
    </w:rPr>
  </w:style>
  <w:style w:type="paragraph" w:styleId="987" w:customStyle="1">
    <w:name w:val="Знак1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88" w:customStyle="1">
    <w:name w:val="Основной текст Знак"/>
    <w:link w:val="961"/>
    <w:rPr>
      <w:sz w:val="24"/>
      <w:szCs w:val="24"/>
      <w:lang w:val="ru-RU" w:eastAsia="ru-RU" w:bidi="ar-SA"/>
    </w:rPr>
  </w:style>
  <w:style w:type="paragraph" w:styleId="989">
    <w:name w:val="Balloon Text"/>
    <w:basedOn w:val="746"/>
    <w:link w:val="990"/>
    <w:rPr>
      <w:rFonts w:ascii="Tahoma" w:hAnsi="Tahoma" w:cs="Tahoma"/>
      <w:sz w:val="16"/>
      <w:szCs w:val="16"/>
    </w:rPr>
  </w:style>
  <w:style w:type="character" w:styleId="990" w:customStyle="1">
    <w:name w:val="Текст выноски Знак"/>
    <w:link w:val="989"/>
    <w:rPr>
      <w:rFonts w:ascii="Tahoma" w:hAnsi="Tahoma" w:cs="Tahoma"/>
      <w:sz w:val="16"/>
      <w:szCs w:val="16"/>
      <w:lang w:val="ru-RU" w:eastAsia="ru-RU" w:bidi="ar-SA"/>
    </w:rPr>
  </w:style>
  <w:style w:type="paragraph" w:styleId="991" w:customStyle="1">
    <w:name w:val="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92" w:customStyle="1">
    <w:name w:val="Нижний колонтитул Знак"/>
    <w:link w:val="813"/>
    <w:rPr>
      <w:sz w:val="24"/>
      <w:szCs w:val="24"/>
      <w:lang w:val="ru-RU" w:eastAsia="ru-RU" w:bidi="ar-SA"/>
    </w:rPr>
  </w:style>
  <w:style w:type="character" w:styleId="993" w:customStyle="1">
    <w:name w:val="Гиперссылка1"/>
    <w:rPr>
      <w:color w:val="0000ff"/>
      <w:u w:val="single"/>
    </w:rPr>
  </w:style>
  <w:style w:type="paragraph" w:styleId="994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5" w:customStyle="1">
    <w:name w:val="Основной текст1"/>
    <w:link w:val="875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996" w:customStyle="1">
    <w:name w:val="docdata"/>
    <w:basedOn w:val="746"/>
    <w:pPr>
      <w:spacing w:before="100" w:beforeAutospacing="1" w:after="100" w:afterAutospacing="1"/>
    </w:pPr>
  </w:style>
  <w:style w:type="paragraph" w:styleId="997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998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9" w:customStyle="1">
    <w:name w:val="s_16"/>
    <w:basedOn w:val="746"/>
    <w:pPr>
      <w:spacing w:before="100" w:beforeAutospacing="1" w:after="100" w:afterAutospacing="1"/>
    </w:pPr>
  </w:style>
  <w:style w:type="paragraph" w:styleId="1000" w:customStyle="1">
    <w:name w:val="s_1"/>
    <w:basedOn w:val="746"/>
    <w:pPr>
      <w:spacing w:before="100" w:beforeAutospacing="1" w:after="100" w:afterAutospacing="1"/>
    </w:pPr>
  </w:style>
  <w:style w:type="paragraph" w:styleId="1001" w:customStyle="1">
    <w:name w:val="Знак"/>
    <w:basedOn w:val="7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2">
    <w:name w:val="Body Text 2"/>
    <w:basedOn w:val="746"/>
    <w:link w:val="1003"/>
    <w:pPr>
      <w:spacing w:after="120" w:line="480" w:lineRule="auto"/>
    </w:pPr>
  </w:style>
  <w:style w:type="character" w:styleId="1003" w:customStyle="1">
    <w:name w:val="Основной текст 2 Знак"/>
    <w:basedOn w:val="756"/>
    <w:link w:val="1002"/>
    <w:rPr>
      <w:sz w:val="24"/>
      <w:szCs w:val="24"/>
    </w:rPr>
  </w:style>
  <w:style w:type="character" w:styleId="1004" w:customStyle="1">
    <w:name w:val="Неразрешенное упоминание1"/>
    <w:basedOn w:val="756"/>
    <w:uiPriority w:val="99"/>
    <w:semiHidden/>
    <w:unhideWhenUsed/>
    <w:rPr>
      <w:color w:val="605e5c"/>
      <w:shd w:val="clear" w:color="auto" w:fill="e1dfdd"/>
    </w:rPr>
  </w:style>
  <w:style w:type="character" w:styleId="1005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1006">
    <w:name w:val="annotation text"/>
    <w:basedOn w:val="746"/>
    <w:link w:val="1007"/>
    <w:uiPriority w:val="99"/>
    <w:semiHidden/>
    <w:unhideWhenUsed/>
    <w:rPr>
      <w:sz w:val="20"/>
      <w:szCs w:val="20"/>
    </w:rPr>
  </w:style>
  <w:style w:type="character" w:styleId="1007" w:customStyle="1">
    <w:name w:val="Текст примечания Знак"/>
    <w:basedOn w:val="756"/>
    <w:link w:val="1006"/>
    <w:uiPriority w:val="99"/>
    <w:semiHidden/>
  </w:style>
  <w:style w:type="paragraph" w:styleId="1008">
    <w:name w:val="annotation subject"/>
    <w:basedOn w:val="1006"/>
    <w:next w:val="1006"/>
    <w:link w:val="1009"/>
    <w:uiPriority w:val="99"/>
    <w:semiHidden/>
    <w:unhideWhenUsed/>
    <w:rPr>
      <w:b/>
      <w:bCs/>
    </w:rPr>
  </w:style>
  <w:style w:type="character" w:styleId="1009" w:customStyle="1">
    <w:name w:val="Тема примечания Знак"/>
    <w:basedOn w:val="1007"/>
    <w:link w:val="1008"/>
    <w:uiPriority w:val="99"/>
    <w:semiHidden/>
    <w:rPr>
      <w:b/>
      <w:bCs/>
    </w:rPr>
  </w:style>
  <w:style w:type="character" w:styleId="1010" w:customStyle="1">
    <w:name w:val="Основной текст (2) + Полужирный;Интервал 3 pt"/>
    <w:rPr>
      <w:rFonts w:ascii="Times New Roman" w:hAnsi="Times New Roman" w:eastAsia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styleId="101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1012" w:customStyle="1">
    <w:name w:val="Основной текст (5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0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3" w:customStyle="1">
    <w:name w:val="Основной текст (2)"/>
    <w:pPr>
      <w:contextualSpacing w:val="0"/>
      <w:ind w:left="0" w:right="0" w:firstLine="740"/>
      <w:jc w:val="both"/>
      <w:keepLines w:val="0"/>
      <w:keepNext w:val="0"/>
      <w:pageBreakBefore w:val="0"/>
      <w:spacing w:before="540" w:beforeAutospacing="0" w:after="0" w:afterAutospacing="0" w:line="3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5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016" w:customStyle="1">
    <w:name w:val="Заголовок №1"/>
    <w:pPr>
      <w:contextualSpacing w:val="0"/>
      <w:ind w:left="0" w:right="0" w:hanging="820"/>
      <w:jc w:val="left"/>
      <w:keepLines w:val="0"/>
      <w:keepNext w:val="0"/>
      <w:pageBreakBefore w:val="0"/>
      <w:spacing w:before="30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7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828A-D551-4224-8A3F-1932E5CF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8</cp:revision>
  <dcterms:created xsi:type="dcterms:W3CDTF">2024-08-14T05:04:00Z</dcterms:created>
  <dcterms:modified xsi:type="dcterms:W3CDTF">2025-03-21T03:33:38Z</dcterms:modified>
  <cp:version>730895</cp:version>
</cp:coreProperties>
</file>