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ind w:left="4535" w:right="0" w:firstLine="0"/>
        <w:jc w:val="center"/>
        <w:spacing w:after="0"/>
        <w:widowControl w:val="off"/>
        <w:tabs>
          <w:tab w:val="left" w:pos="1028" w:leader="none"/>
        </w:tabs>
        <w:rPr>
          <w:rStyle w:val="1011"/>
          <w:rFonts w:eastAsiaTheme="minorHAnsi"/>
          <w:sz w:val="28"/>
          <w:szCs w:val="28"/>
        </w:rPr>
      </w:pPr>
      <w:r>
        <w:rPr>
          <w:rStyle w:val="1011"/>
          <w:rFonts w:eastAsiaTheme="minorHAnsi"/>
          <w:sz w:val="28"/>
          <w:szCs w:val="28"/>
        </w:rPr>
        <w:t xml:space="preserve">УТВЕРЖДЕНА</w:t>
      </w:r>
      <w:r>
        <w:rPr>
          <w:rStyle w:val="1011"/>
          <w:rFonts w:eastAsiaTheme="minorHAnsi"/>
          <w:sz w:val="28"/>
          <w:szCs w:val="28"/>
        </w:rPr>
      </w:r>
      <w:r>
        <w:rPr>
          <w:rStyle w:val="1011"/>
          <w:rFonts w:eastAsiaTheme="minorHAnsi"/>
          <w:sz w:val="28"/>
          <w:szCs w:val="28"/>
        </w:rPr>
      </w:r>
    </w:p>
    <w:p>
      <w:pPr>
        <w:ind w:left="4535" w:right="0" w:firstLine="0"/>
        <w:jc w:val="center"/>
        <w:spacing w:after="0"/>
        <w:widowControl w:val="off"/>
        <w:tabs>
          <w:tab w:val="left" w:pos="1028" w:leader="none"/>
        </w:tabs>
        <w:rPr>
          <w:rStyle w:val="1011"/>
          <w:rFonts w:eastAsiaTheme="minorHAnsi"/>
          <w:sz w:val="28"/>
          <w:szCs w:val="28"/>
        </w:rPr>
      </w:pPr>
      <w:r>
        <w:rPr>
          <w:rStyle w:val="1011"/>
          <w:rFonts w:eastAsiaTheme="minorHAnsi"/>
          <w:sz w:val="28"/>
          <w:szCs w:val="28"/>
        </w:rPr>
        <w:t xml:space="preserve"> приказом  </w:t>
      </w:r>
      <w:r>
        <w:rPr>
          <w:rStyle w:val="1011"/>
          <w:rFonts w:eastAsiaTheme="minorHAnsi"/>
          <w:sz w:val="28"/>
          <w:szCs w:val="28"/>
        </w:rPr>
        <w:t xml:space="preserve">Министерства здравоохранения </w:t>
      </w:r>
      <w:r>
        <w:rPr>
          <w:rStyle w:val="1011"/>
          <w:rFonts w:eastAsiaTheme="minorHAnsi"/>
          <w:sz w:val="28"/>
          <w:szCs w:val="28"/>
        </w:rPr>
      </w:r>
      <w:r>
        <w:rPr>
          <w:rStyle w:val="1011"/>
          <w:rFonts w:eastAsiaTheme="minorHAnsi"/>
          <w:sz w:val="28"/>
          <w:szCs w:val="28"/>
        </w:rPr>
      </w:r>
    </w:p>
    <w:p>
      <w:pPr>
        <w:ind w:left="4535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32"/>
          <w:szCs w:val="32"/>
        </w:rPr>
      </w:pPr>
      <w:r>
        <w:rPr>
          <w:rStyle w:val="1011"/>
          <w:rFonts w:eastAsiaTheme="minorHAnsi"/>
          <w:sz w:val="28"/>
          <w:szCs w:val="28"/>
        </w:rPr>
        <w:t xml:space="preserve">Новосибирской области</w:t>
      </w:r>
      <w:r>
        <w:rPr>
          <w:rFonts w:eastAsiaTheme="minorHAnsi"/>
          <w:sz w:val="32"/>
          <w:szCs w:val="32"/>
        </w:rPr>
      </w:r>
      <w:r>
        <w:rPr>
          <w:rFonts w:eastAsiaTheme="minorHAnsi"/>
          <w:sz w:val="32"/>
          <w:szCs w:val="32"/>
        </w:rPr>
      </w:r>
    </w:p>
    <w:p>
      <w:pPr>
        <w:ind w:left="4535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32"/>
          <w:szCs w:val="32"/>
        </w:rPr>
      </w:pPr>
      <w:r>
        <w:rPr>
          <w:rStyle w:val="1011"/>
          <w:rFonts w:eastAsiaTheme="minorHAnsi"/>
          <w:sz w:val="28"/>
          <w:szCs w:val="28"/>
        </w:rPr>
        <w:t xml:space="preserve">от__________№___________</w:t>
      </w:r>
      <w:r>
        <w:rPr>
          <w:rFonts w:eastAsiaTheme="minorHAnsi"/>
          <w:sz w:val="32"/>
          <w:szCs w:val="32"/>
        </w:rPr>
      </w:r>
      <w:r>
        <w:rPr>
          <w:rFonts w:eastAsiaTheme="minorHAnsi"/>
          <w:sz w:val="32"/>
          <w:szCs w:val="32"/>
        </w:rPr>
      </w:r>
    </w:p>
    <w:p>
      <w:pPr>
        <w:ind w:left="360"/>
        <w:spacing w:after="0"/>
        <w:widowControl w:val="off"/>
        <w:tabs>
          <w:tab w:val="left" w:pos="1028" w:leader="none"/>
        </w:tabs>
        <w:rPr>
          <w:rFonts w:eastAsiaTheme="minorHAnsi"/>
        </w:rPr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360"/>
        <w:spacing w:after="0"/>
        <w:widowControl w:val="off"/>
        <w:tabs>
          <w:tab w:val="left" w:pos="1028" w:leader="none"/>
        </w:tabs>
        <w:rPr>
          <w:rFonts w:eastAsiaTheme="minorHAnsi"/>
        </w:rPr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1012"/>
        <w:ind w:left="0" w:firstLine="0"/>
        <w:spacing w:before="0" w:after="0" w:afterAutospacing="0" w:line="240" w:lineRule="auto"/>
        <w:shd w:val="clear" w:color="auto" w:fill="auto"/>
        <w:rPr>
          <w:color w:val="000000"/>
          <w:sz w:val="27"/>
          <w:szCs w:val="27"/>
        </w:rPr>
        <w:suppressLineNumbers w:val="0"/>
      </w:pPr>
      <w:r>
        <w:rPr>
          <w:color w:val="000000"/>
          <w:sz w:val="27"/>
          <w:szCs w:val="27"/>
          <w:lang w:eastAsia="ru-RU" w:bidi="ru-RU"/>
        </w:rPr>
        <w:t xml:space="preserve">СХЕМА</w: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1012"/>
        <w:ind w:left="0" w:firstLine="0"/>
        <w:spacing w:before="0" w:after="0" w:afterAutospacing="0" w:line="240" w:lineRule="auto"/>
        <w:shd w:val="clear" w:color="auto" w:fill="auto"/>
        <w:rPr>
          <w:sz w:val="27"/>
          <w:szCs w:val="27"/>
          <w:highlight w:val="none"/>
        </w:rPr>
        <w:suppressLineNumbers w:val="0"/>
      </w:pPr>
      <w:r>
        <w:rPr>
          <w:color w:val="000000"/>
          <w:sz w:val="27"/>
          <w:szCs w:val="27"/>
          <w:lang w:eastAsia="ru-RU" w:bidi="ru-RU"/>
        </w:rPr>
        <w:t xml:space="preserve"> маршрутизации оказания медицинской помощи</w:t>
      </w:r>
      <w:r>
        <w:rPr>
          <w:color w:val="000000"/>
          <w:sz w:val="27"/>
          <w:szCs w:val="27"/>
          <w:lang w:eastAsia="ru-RU" w:bidi="ru-RU"/>
        </w:rPr>
        <w:t xml:space="preserve"> гражданам старше 18 лет, проживающим на территории</w:t>
      </w:r>
      <w:r>
        <w:rPr>
          <w:color w:val="000000"/>
          <w:sz w:val="27"/>
          <w:szCs w:val="27"/>
          <w:lang w:eastAsia="ru-RU" w:bidi="ru-RU"/>
        </w:rPr>
        <w:t xml:space="preserve"> Новосибирской области, по профилю «фтизиатрия»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1012"/>
        <w:ind w:left="0" w:firstLine="0"/>
        <w:spacing w:before="0" w:after="0" w:afterAutospacing="0" w:line="240" w:lineRule="auto"/>
        <w:shd w:val="clear" w:color="auto" w:fill="auto"/>
        <w:rPr>
          <w:sz w:val="27"/>
          <w:szCs w:val="27"/>
        </w:rPr>
        <w:suppressLineNumbers w:val="0"/>
      </w:pPr>
      <w:r>
        <w:rPr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013"/>
        <w:numPr>
          <w:ilvl w:val="0"/>
          <w:numId w:val="19"/>
        </w:numPr>
        <w:ind w:firstLine="720"/>
        <w:spacing w:before="0" w:line="240" w:lineRule="auto"/>
        <w:shd w:val="clear" w:color="auto" w:fill="auto"/>
        <w:tabs>
          <w:tab w:val="left" w:pos="1362" w:leader="none"/>
        </w:tabs>
        <w:rPr>
          <w:sz w:val="27"/>
          <w:szCs w:val="27"/>
        </w:rPr>
      </w:pPr>
      <w:r>
        <w:rPr>
          <w:rStyle w:val="1011"/>
          <w:sz w:val="27"/>
          <w:szCs w:val="27"/>
        </w:rPr>
        <w:t xml:space="preserve">При подозрении на туберкулез врач - специалист медицинской организации, оказывающей первичную медико-санитарную помощь, направляет пациента к участковому врачу-фтизиатру по месту фактического проживания.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013"/>
        <w:numPr>
          <w:ilvl w:val="0"/>
          <w:numId w:val="19"/>
        </w:numPr>
        <w:ind w:firstLine="720"/>
        <w:spacing w:before="0" w:line="240" w:lineRule="auto"/>
        <w:shd w:val="clear" w:color="auto" w:fill="auto"/>
        <w:tabs>
          <w:tab w:val="left" w:pos="1362" w:leader="none"/>
        </w:tabs>
        <w:rPr>
          <w:sz w:val="27"/>
          <w:szCs w:val="27"/>
        </w:rPr>
      </w:pPr>
      <w:r>
        <w:rPr>
          <w:rStyle w:val="1011"/>
          <w:sz w:val="27"/>
          <w:szCs w:val="27"/>
        </w:rPr>
        <w:t xml:space="preserve">Врачи-фтизиатры </w:t>
      </w:r>
      <w:r>
        <w:rPr>
          <w:rStyle w:val="1011"/>
          <w:sz w:val="27"/>
          <w:szCs w:val="27"/>
        </w:rPr>
        <w:t xml:space="preserve">диспансерных отделений ГБУЗ НСО ГОНКТБ, противотуберкулезных диспансеров (кабинетов) Новосибирской области</w:t>
      </w:r>
      <w:r>
        <w:rPr>
          <w:rStyle w:val="1011"/>
          <w:sz w:val="27"/>
          <w:szCs w:val="27"/>
        </w:rPr>
        <w:t xml:space="preserve">, при отсутствии врача-фтизиатра </w:t>
      </w:r>
      <w:r>
        <w:rPr>
          <w:rStyle w:val="1011"/>
          <w:sz w:val="27"/>
          <w:szCs w:val="27"/>
        </w:rPr>
        <w:t xml:space="preserve">–</w:t>
      </w:r>
      <w:r>
        <w:rPr>
          <w:rStyle w:val="1011"/>
          <w:sz w:val="27"/>
          <w:szCs w:val="27"/>
        </w:rPr>
        <w:t xml:space="preserve"> врачи, ответственные за оказание медицинской помощи больным туберкулезом (специалисты), проводят первичный этап уточняющей диагностики, а именно: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013"/>
        <w:numPr>
          <w:ilvl w:val="0"/>
          <w:numId w:val="20"/>
        </w:numPr>
        <w:ind w:firstLine="720"/>
        <w:spacing w:before="0" w:line="240" w:lineRule="auto"/>
        <w:shd w:val="clear" w:color="auto" w:fill="auto"/>
        <w:tabs>
          <w:tab w:val="left" w:pos="951" w:leader="none"/>
        </w:tabs>
        <w:rPr>
          <w:sz w:val="27"/>
          <w:szCs w:val="27"/>
        </w:rPr>
      </w:pPr>
      <w:r>
        <w:rPr>
          <w:rStyle w:val="1011"/>
          <w:sz w:val="27"/>
          <w:szCs w:val="27"/>
        </w:rPr>
        <w:t xml:space="preserve">исследование диагностического материала методом люминесцентной </w:t>
      </w:r>
      <w:r>
        <w:rPr>
          <w:rStyle w:val="1011"/>
          <w:color w:val="auto"/>
          <w:sz w:val="27"/>
          <w:szCs w:val="27"/>
        </w:rPr>
        <w:t xml:space="preserve">микроскопии двукратно;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013"/>
        <w:numPr>
          <w:ilvl w:val="0"/>
          <w:numId w:val="20"/>
        </w:numPr>
        <w:ind w:firstLine="720"/>
        <w:spacing w:before="0" w:line="240" w:lineRule="auto"/>
        <w:shd w:val="clear" w:color="auto" w:fill="auto"/>
        <w:tabs>
          <w:tab w:val="left" w:pos="951" w:leader="none"/>
        </w:tabs>
        <w:rPr>
          <w:sz w:val="27"/>
          <w:szCs w:val="27"/>
        </w:rPr>
      </w:pPr>
      <w:r>
        <w:rPr>
          <w:rStyle w:val="1011"/>
          <w:color w:val="auto"/>
          <w:sz w:val="27"/>
          <w:szCs w:val="27"/>
        </w:rPr>
        <w:t xml:space="preserve">исследование диагностического материала молекулярно-генетическими методами с определением чувствительности возбудителя туберкулеза к </w:t>
      </w:r>
      <w:r>
        <w:rPr>
          <w:rStyle w:val="1011"/>
          <w:color w:val="auto"/>
          <w:sz w:val="27"/>
          <w:szCs w:val="27"/>
        </w:rPr>
        <w:t xml:space="preserve">противотуберкулезным препаратам</w:t>
      </w:r>
      <w:r>
        <w:rPr>
          <w:rStyle w:val="1011"/>
          <w:color w:val="auto"/>
          <w:sz w:val="27"/>
          <w:szCs w:val="27"/>
        </w:rPr>
        <w:t xml:space="preserve">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013"/>
        <w:numPr>
          <w:ilvl w:val="0"/>
          <w:numId w:val="20"/>
        </w:numPr>
        <w:ind w:firstLine="720"/>
        <w:spacing w:before="0" w:line="240" w:lineRule="auto"/>
        <w:shd w:val="clear" w:color="auto" w:fill="auto"/>
        <w:tabs>
          <w:tab w:val="left" w:pos="961" w:leader="none"/>
        </w:tabs>
        <w:rPr>
          <w:sz w:val="27"/>
          <w:szCs w:val="27"/>
        </w:rPr>
      </w:pPr>
      <w:r>
        <w:rPr>
          <w:rStyle w:val="1011"/>
          <w:color w:val="auto"/>
          <w:sz w:val="27"/>
          <w:szCs w:val="27"/>
        </w:rPr>
        <w:t xml:space="preserve">культуральное исследование диагностического материала на жидкой и плотной питательных средах, видовая </w:t>
      </w:r>
      <w:r>
        <w:rPr>
          <w:rStyle w:val="1011"/>
          <w:sz w:val="27"/>
          <w:szCs w:val="27"/>
        </w:rPr>
        <w:t xml:space="preserve">идентификация выделенных культур, определение лекарственной чувствительности микобактерий туберкулеза к противотуберкулезным препаратам культуральным методом на жидкой или плотной питательных средах;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013"/>
        <w:numPr>
          <w:ilvl w:val="0"/>
          <w:numId w:val="20"/>
        </w:numPr>
        <w:ind w:firstLine="720"/>
        <w:spacing w:before="0" w:line="240" w:lineRule="auto"/>
        <w:shd w:val="clear" w:color="auto" w:fill="auto"/>
        <w:tabs>
          <w:tab w:val="left" w:pos="961" w:leader="none"/>
        </w:tabs>
        <w:rPr>
          <w:rStyle w:val="1011"/>
          <w:sz w:val="27"/>
          <w:szCs w:val="27"/>
        </w:rPr>
      </w:pPr>
      <w:r>
        <w:rPr>
          <w:rStyle w:val="1011"/>
          <w:sz w:val="27"/>
          <w:szCs w:val="27"/>
        </w:rPr>
        <w:t xml:space="preserve">мульти</w:t>
      </w:r>
      <w:r>
        <w:rPr>
          <w:rStyle w:val="1011"/>
          <w:sz w:val="27"/>
          <w:szCs w:val="27"/>
        </w:rPr>
        <w:t xml:space="preserve">срезовая </w:t>
      </w:r>
      <w:r>
        <w:rPr>
          <w:rStyle w:val="1011"/>
          <w:sz w:val="27"/>
          <w:szCs w:val="27"/>
        </w:rPr>
        <w:t xml:space="preserve">спиральная компьютерная томография </w:t>
      </w:r>
      <w:r>
        <w:rPr>
          <w:rStyle w:val="1011"/>
          <w:sz w:val="27"/>
          <w:szCs w:val="27"/>
        </w:rPr>
        <w:t xml:space="preserve">(далее МСКТ) </w:t>
      </w:r>
      <w:r>
        <w:rPr>
          <w:rStyle w:val="1011"/>
          <w:sz w:val="27"/>
          <w:szCs w:val="27"/>
        </w:rPr>
        <w:t xml:space="preserve">(по показаниям);</w:t>
      </w:r>
      <w:r>
        <w:rPr>
          <w:rStyle w:val="1011"/>
          <w:sz w:val="27"/>
          <w:szCs w:val="27"/>
        </w:rPr>
      </w:r>
      <w:r>
        <w:rPr>
          <w:rStyle w:val="1011"/>
          <w:sz w:val="27"/>
          <w:szCs w:val="27"/>
        </w:rPr>
      </w:r>
    </w:p>
    <w:p>
      <w:pPr>
        <w:pStyle w:val="1013"/>
        <w:numPr>
          <w:ilvl w:val="0"/>
          <w:numId w:val="20"/>
        </w:numPr>
        <w:ind w:firstLine="720"/>
        <w:spacing w:before="0" w:line="240" w:lineRule="auto"/>
        <w:shd w:val="clear" w:color="auto" w:fill="auto"/>
        <w:tabs>
          <w:tab w:val="left" w:pos="961" w:leader="none"/>
        </w:tabs>
        <w:rPr>
          <w:rStyle w:val="1011"/>
          <w:sz w:val="27"/>
          <w:szCs w:val="27"/>
        </w:rPr>
      </w:pPr>
      <w:r>
        <w:rPr>
          <w:rStyle w:val="1011"/>
          <w:sz w:val="27"/>
          <w:szCs w:val="27"/>
        </w:rPr>
        <w:t xml:space="preserve"> </w:t>
      </w:r>
      <w:r>
        <w:rPr>
          <w:rStyle w:val="1011"/>
          <w:sz w:val="27"/>
          <w:szCs w:val="27"/>
        </w:rPr>
        <w:t xml:space="preserve">диагностическая проба с аллергеном туберкулезным рекомбинантным в стандартном разведен</w:t>
      </w:r>
      <w:r>
        <w:rPr>
          <w:rStyle w:val="1011"/>
          <w:sz w:val="27"/>
          <w:szCs w:val="27"/>
        </w:rPr>
        <w:t xml:space="preserve">ии, </w:t>
      </w:r>
      <w:r>
        <w:rPr>
          <w:rStyle w:val="1011"/>
          <w:sz w:val="27"/>
          <w:szCs w:val="27"/>
        </w:rPr>
        <w:t xml:space="preserve">либо альтернативные иммунологические тесты in vitro (IGRA-тесты)</w:t>
      </w:r>
      <w:r>
        <w:rPr>
          <w:rStyle w:val="1011"/>
          <w:sz w:val="27"/>
          <w:szCs w:val="27"/>
        </w:rPr>
        <w:t xml:space="preserve"> (по показаниям);</w:t>
      </w:r>
      <w:r>
        <w:rPr>
          <w:rStyle w:val="1011"/>
          <w:sz w:val="27"/>
          <w:szCs w:val="27"/>
        </w:rPr>
      </w:r>
      <w:r>
        <w:rPr>
          <w:rStyle w:val="1011"/>
          <w:sz w:val="27"/>
          <w:szCs w:val="27"/>
        </w:rPr>
      </w:r>
    </w:p>
    <w:p>
      <w:pPr>
        <w:pStyle w:val="1013"/>
        <w:numPr>
          <w:ilvl w:val="0"/>
          <w:numId w:val="20"/>
        </w:numPr>
        <w:ind w:firstLine="720"/>
        <w:spacing w:before="0" w:line="240" w:lineRule="auto"/>
        <w:shd w:val="clear" w:color="auto" w:fill="auto"/>
        <w:tabs>
          <w:tab w:val="left" w:pos="961" w:leader="none"/>
        </w:tabs>
        <w:rPr>
          <w:sz w:val="27"/>
          <w:szCs w:val="27"/>
        </w:rPr>
      </w:pPr>
      <w:r>
        <w:rPr>
          <w:rStyle w:val="1011"/>
          <w:sz w:val="27"/>
          <w:szCs w:val="27"/>
        </w:rPr>
      </w:r>
      <w:r>
        <w:rPr>
          <w:rStyle w:val="1011"/>
          <w:sz w:val="27"/>
          <w:szCs w:val="27"/>
        </w:rPr>
        <w:t xml:space="preserve">при подозрении на туберку</w:t>
      </w:r>
      <w:r>
        <w:rPr>
          <w:rStyle w:val="1011"/>
          <w:sz w:val="27"/>
          <w:szCs w:val="27"/>
        </w:rPr>
        <w:t xml:space="preserve">лез внелегочной локализации проводится лучевое (рентгенологическое, ультразвуковое) или другое специальное исследование пораженного органа и микробиологическое исследование биологического материала (моча, отделяемое свищей, менструальная кровь и др.) из пр</w:t>
      </w:r>
      <w:r>
        <w:rPr>
          <w:rStyle w:val="1011"/>
          <w:sz w:val="27"/>
          <w:szCs w:val="27"/>
        </w:rPr>
        <w:t xml:space="preserve">едполагаемого очага туберкулеза, МС</w:t>
      </w:r>
      <w:r>
        <w:rPr>
          <w:rStyle w:val="1011"/>
          <w:sz w:val="27"/>
          <w:szCs w:val="27"/>
        </w:rPr>
        <w:t xml:space="preserve">КТ (</w:t>
      </w:r>
      <w:r>
        <w:rPr>
          <w:rStyle w:val="1011"/>
          <w:sz w:val="27"/>
          <w:szCs w:val="27"/>
        </w:rPr>
        <w:t xml:space="preserve">по показаниям), магнитно-резонансная томография</w:t>
      </w:r>
      <w:r>
        <w:rPr>
          <w:rStyle w:val="1011"/>
          <w:sz w:val="27"/>
          <w:szCs w:val="27"/>
        </w:rPr>
        <w:t xml:space="preserve"> (по показаниям)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013"/>
        <w:numPr>
          <w:ilvl w:val="0"/>
          <w:numId w:val="19"/>
        </w:numPr>
        <w:ind w:firstLine="709"/>
        <w:spacing w:before="0" w:line="240" w:lineRule="auto"/>
        <w:shd w:val="clear" w:color="auto" w:fill="auto"/>
        <w:tabs>
          <w:tab w:val="left" w:pos="1348" w:leader="none"/>
        </w:tabs>
        <w:rPr>
          <w:rStyle w:val="1011"/>
          <w:sz w:val="27"/>
          <w:szCs w:val="27"/>
        </w:rPr>
        <w:suppressLineNumbers w:val="0"/>
      </w:pPr>
      <w:r>
        <w:rPr>
          <w:rStyle w:val="1011"/>
          <w:sz w:val="27"/>
          <w:szCs w:val="27"/>
        </w:rPr>
      </w:r>
      <w:r>
        <w:rPr>
          <w:rStyle w:val="1011"/>
          <w:sz w:val="27"/>
          <w:szCs w:val="27"/>
        </w:rPr>
        <w:t xml:space="preserve">При необходимости верификации патологического процесса и проведения дальнейшей дифференциальной диагностики пациент направляется в ГБУЗ НСО «ГОНКТБ» для проведения </w:t>
      </w:r>
      <w:r>
        <w:rPr>
          <w:rStyle w:val="1011"/>
          <w:sz w:val="27"/>
          <w:szCs w:val="27"/>
        </w:rPr>
        <w:t xml:space="preserve">диагностической </w:t>
      </w:r>
      <w:r>
        <w:rPr>
          <w:rStyle w:val="1011"/>
          <w:sz w:val="27"/>
          <w:szCs w:val="27"/>
        </w:rPr>
        <w:t xml:space="preserve">фибробронхоскопии с </w:t>
      </w:r>
      <w:r>
        <w:rPr>
          <w:rStyle w:val="1011"/>
          <w:sz w:val="27"/>
          <w:szCs w:val="27"/>
        </w:rPr>
        <w:t xml:space="preserve">забором бронхоальвеолярного лаважа, </w:t>
      </w:r>
      <w:r>
        <w:rPr>
          <w:rStyle w:val="1011"/>
          <w:sz w:val="27"/>
          <w:szCs w:val="27"/>
        </w:rPr>
        <w:t xml:space="preserve">комплексом биопсий для цитологического, гистологического и микробиологического исследований диагностического материала (микроскопия, молекулярно-генетическое исследование, культуральное исследование диагностического материала). </w:t>
      </w:r>
      <w:r>
        <w:rPr>
          <w:rStyle w:val="1011"/>
          <w:sz w:val="27"/>
          <w:szCs w:val="27"/>
        </w:rPr>
      </w:r>
      <w:r>
        <w:rPr>
          <w:rStyle w:val="1011"/>
          <w:sz w:val="27"/>
          <w:szCs w:val="27"/>
        </w:rPr>
      </w:r>
    </w:p>
    <w:p>
      <w:pPr>
        <w:pStyle w:val="1013"/>
        <w:ind w:left="0" w:firstLine="709"/>
        <w:spacing w:before="0" w:line="240" w:lineRule="auto"/>
        <w:shd w:val="clear" w:color="auto" w:fill="auto"/>
        <w:rPr>
          <w:sz w:val="27"/>
          <w:szCs w:val="27"/>
        </w:rPr>
        <w:suppressLineNumbers w:val="0"/>
      </w:pPr>
      <w:r>
        <w:rPr>
          <w:rStyle w:val="1011"/>
          <w:color w:val="auto"/>
          <w:sz w:val="27"/>
          <w:szCs w:val="27"/>
        </w:rPr>
        <w:t xml:space="preserve">На основании проведенного обследования, консультаций специалистов выдается заключение о диагнозе с рекомендациями по ведению пациента для врача-фтизиатра по месту диспансерного наблюдения.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013"/>
        <w:numPr>
          <w:ilvl w:val="0"/>
          <w:numId w:val="19"/>
        </w:numPr>
        <w:ind w:left="0" w:firstLine="709"/>
        <w:spacing w:before="0" w:line="240" w:lineRule="auto"/>
        <w:shd w:val="clear" w:color="auto" w:fill="auto"/>
        <w:tabs>
          <w:tab w:val="left" w:pos="1348" w:leader="none"/>
        </w:tabs>
        <w:rPr>
          <w:rStyle w:val="1011"/>
          <w:sz w:val="27"/>
          <w:szCs w:val="27"/>
        </w:rPr>
        <w:suppressLineNumbers w:val="0"/>
      </w:pPr>
      <w:r>
        <w:rPr>
          <w:rStyle w:val="1011"/>
          <w:sz w:val="27"/>
          <w:szCs w:val="27"/>
        </w:rPr>
        <w:t xml:space="preserve">Пациенты с туб</w:t>
      </w:r>
      <w:r>
        <w:rPr>
          <w:rStyle w:val="1011"/>
          <w:sz w:val="27"/>
          <w:szCs w:val="27"/>
        </w:rPr>
        <w:t xml:space="preserve">еркулезом мочеполовой системы или подозрением на него направляются на обследование и лечение в Федеральное государственное бюджетное учреждение «Новосибирский научно-исследовательский институт туберкулеза» Министерства здравоохранения Российской Федерации.</w:t>
      </w:r>
      <w:r>
        <w:rPr>
          <w:rStyle w:val="1011"/>
          <w:sz w:val="27"/>
          <w:szCs w:val="27"/>
        </w:rPr>
      </w:r>
      <w:r>
        <w:rPr>
          <w:rStyle w:val="1011"/>
          <w:sz w:val="27"/>
          <w:szCs w:val="27"/>
        </w:rPr>
      </w:r>
    </w:p>
    <w:p>
      <w:pPr>
        <w:pStyle w:val="1013"/>
        <w:numPr>
          <w:ilvl w:val="0"/>
          <w:numId w:val="19"/>
        </w:numPr>
        <w:ind w:left="0" w:firstLine="709"/>
        <w:spacing w:before="0" w:line="240" w:lineRule="auto"/>
        <w:shd w:val="clear" w:color="auto" w:fill="auto"/>
        <w:tabs>
          <w:tab w:val="left" w:pos="1348" w:leader="none"/>
        </w:tabs>
        <w:rPr>
          <w:color w:val="auto"/>
          <w:sz w:val="32"/>
          <w:szCs w:val="32"/>
        </w:rPr>
        <w:suppressLineNumbers w:val="0"/>
      </w:pPr>
      <w:r>
        <w:rPr>
          <w:rStyle w:val="1011"/>
          <w:sz w:val="27"/>
          <w:szCs w:val="27"/>
        </w:rPr>
        <w:t xml:space="preserve">На основании результатов осмотра, проведенных диагностических мероприятий </w:t>
      </w:r>
      <w:r>
        <w:rPr>
          <w:rStyle w:val="1011"/>
          <w:color w:val="auto"/>
          <w:sz w:val="27"/>
          <w:szCs w:val="27"/>
        </w:rPr>
        <w:t xml:space="preserve">для подтверждения диагноза и определения тактики ведения</w:t>
      </w:r>
      <w:r>
        <w:rPr>
          <w:rStyle w:val="1011"/>
          <w:color w:val="auto"/>
          <w:sz w:val="27"/>
          <w:szCs w:val="27"/>
        </w:rPr>
        <w:t xml:space="preserve">,</w:t>
      </w:r>
      <w:r>
        <w:rPr>
          <w:rStyle w:val="1011"/>
          <w:color w:val="auto"/>
          <w:sz w:val="27"/>
          <w:szCs w:val="27"/>
        </w:rPr>
        <w:t xml:space="preserve"> врач-фтизиатр направляет </w:t>
      </w:r>
      <w:r>
        <w:rPr>
          <w:rStyle w:val="1011"/>
          <w:color w:val="auto"/>
          <w:sz w:val="27"/>
          <w:szCs w:val="27"/>
        </w:rPr>
        <w:t xml:space="preserve">медицинскую документацию </w:t>
      </w:r>
      <w:r>
        <w:rPr>
          <w:rStyle w:val="1011"/>
          <w:color w:val="auto"/>
          <w:sz w:val="27"/>
          <w:szCs w:val="27"/>
        </w:rPr>
        <w:t xml:space="preserve">пациента </w:t>
      </w:r>
      <w:r>
        <w:rPr>
          <w:rStyle w:val="1011"/>
          <w:sz w:val="27"/>
          <w:szCs w:val="27"/>
        </w:rPr>
        <w:t xml:space="preserve">на ЦВКК</w:t>
      </w:r>
      <w:r>
        <w:rPr>
          <w:rStyle w:val="1011"/>
          <w:sz w:val="27"/>
          <w:szCs w:val="27"/>
        </w:rPr>
        <w:t xml:space="preserve"> </w:t>
      </w:r>
      <w:r>
        <w:rPr>
          <w:rStyle w:val="1011"/>
          <w:sz w:val="27"/>
          <w:szCs w:val="27"/>
        </w:rPr>
        <w:t xml:space="preserve">в ГБУЗ НСО «</w:t>
      </w:r>
      <w:r>
        <w:rPr>
          <w:rStyle w:val="1011"/>
          <w:sz w:val="27"/>
          <w:szCs w:val="27"/>
        </w:rPr>
        <w:t xml:space="preserve">ГОНКТБ</w:t>
      </w:r>
      <w:r>
        <w:rPr>
          <w:rStyle w:val="1011"/>
          <w:sz w:val="27"/>
          <w:szCs w:val="27"/>
        </w:rPr>
        <w:t xml:space="preserve">»</w:t>
      </w:r>
      <w:r>
        <w:rPr>
          <w:rStyle w:val="1011"/>
          <w:sz w:val="27"/>
          <w:szCs w:val="27"/>
        </w:rPr>
        <w:t xml:space="preserve"> в срок не более </w:t>
      </w:r>
      <w:r>
        <w:rPr>
          <w:rStyle w:val="1011"/>
          <w:sz w:val="27"/>
          <w:szCs w:val="27"/>
        </w:rPr>
        <w:t xml:space="preserve">10</w:t>
      </w:r>
      <w:r>
        <w:rPr>
          <w:rStyle w:val="1011"/>
          <w:sz w:val="27"/>
          <w:szCs w:val="27"/>
        </w:rPr>
        <w:t xml:space="preserve"> </w:t>
      </w:r>
      <w:r>
        <w:rPr>
          <w:rStyle w:val="1011"/>
          <w:color w:val="auto"/>
          <w:sz w:val="27"/>
          <w:szCs w:val="27"/>
        </w:rPr>
        <w:t xml:space="preserve">рабочих дней с момента</w:t>
      </w:r>
      <w:r>
        <w:rPr>
          <w:rStyle w:val="1011"/>
          <w:color w:val="auto"/>
          <w:sz w:val="27"/>
          <w:szCs w:val="27"/>
        </w:rPr>
        <w:t xml:space="preserve"> обращения пациента в противотуберкулезную медицинскую организацию.</w:t>
      </w:r>
      <w:r>
        <w:rPr>
          <w:color w:val="auto"/>
          <w:sz w:val="32"/>
          <w:szCs w:val="32"/>
        </w:rPr>
      </w:r>
      <w:r>
        <w:rPr>
          <w:color w:val="auto"/>
          <w:sz w:val="32"/>
          <w:szCs w:val="32"/>
        </w:rPr>
      </w:r>
    </w:p>
    <w:p>
      <w:pPr>
        <w:pStyle w:val="1013"/>
        <w:numPr>
          <w:ilvl w:val="0"/>
          <w:numId w:val="19"/>
        </w:numPr>
        <w:ind w:left="0" w:firstLine="709"/>
        <w:spacing w:before="0" w:line="240" w:lineRule="auto"/>
        <w:shd w:val="clear" w:color="auto" w:fill="auto"/>
        <w:tabs>
          <w:tab w:val="left" w:pos="1348" w:leader="none"/>
        </w:tabs>
        <w:rPr>
          <w:color w:val="auto"/>
          <w:sz w:val="32"/>
          <w:szCs w:val="32"/>
          <w:shd w:val="clear" w:color="auto" w:fill="auto"/>
        </w:rPr>
        <w:suppressLineNumbers w:val="0"/>
      </w:pPr>
      <w:r>
        <w:rPr>
          <w:rStyle w:val="1011"/>
          <w:sz w:val="27"/>
          <w:szCs w:val="27"/>
        </w:rPr>
        <w:t xml:space="preserve">Участковый в</w:t>
      </w:r>
      <w:r>
        <w:rPr>
          <w:rStyle w:val="1011"/>
          <w:sz w:val="27"/>
          <w:szCs w:val="27"/>
        </w:rPr>
        <w:t xml:space="preserve">рач-фтизиатр </w:t>
      </w:r>
      <w:r>
        <w:rPr>
          <w:rStyle w:val="1011"/>
          <w:sz w:val="27"/>
          <w:szCs w:val="27"/>
        </w:rPr>
        <w:t xml:space="preserve">организует лечение пациента в соответствии с решением ЦВКК.</w:t>
      </w:r>
      <w:r>
        <w:rPr>
          <w:color w:val="auto"/>
          <w:sz w:val="32"/>
          <w:szCs w:val="32"/>
          <w:shd w:val="clear" w:color="auto" w:fill="auto"/>
        </w:rPr>
      </w:r>
      <w:r>
        <w:rPr>
          <w:color w:val="auto"/>
          <w:sz w:val="32"/>
          <w:szCs w:val="32"/>
          <w:shd w:val="clear" w:color="auto" w:fill="auto"/>
        </w:rPr>
      </w:r>
    </w:p>
    <w:p>
      <w:pPr>
        <w:pStyle w:val="1013"/>
        <w:numPr>
          <w:ilvl w:val="0"/>
          <w:numId w:val="19"/>
        </w:numPr>
        <w:ind w:left="0" w:firstLine="709"/>
        <w:spacing w:before="0" w:line="240" w:lineRule="auto"/>
        <w:shd w:val="clear" w:color="auto" w:fill="auto"/>
        <w:tabs>
          <w:tab w:val="left" w:pos="1348" w:leader="none"/>
        </w:tabs>
        <w:rPr>
          <w:rStyle w:val="1011"/>
          <w:sz w:val="27"/>
          <w:szCs w:val="27"/>
        </w:rPr>
        <w:suppressLineNumbers w:val="0"/>
      </w:pPr>
      <w:r>
        <w:rPr>
          <w:rStyle w:val="1011"/>
          <w:sz w:val="27"/>
          <w:szCs w:val="27"/>
        </w:rPr>
        <w:t xml:space="preserve">Начало курса химиотерапии и подбор противотуберкулезных препаратов для пациентов, проживающих в районах Новосибирской области, проводится в условиях стационара ГБУЗ НСО «ГОНКТБ» вне зависимости от спектра лекарственной устойчивости</w:t>
      </w:r>
      <w:r>
        <w:rPr>
          <w:rStyle w:val="1011"/>
          <w:sz w:val="27"/>
          <w:szCs w:val="27"/>
        </w:rPr>
        <w:t xml:space="preserve">.</w:t>
      </w:r>
      <w:r>
        <w:rPr>
          <w:rStyle w:val="1011"/>
          <w:sz w:val="27"/>
          <w:szCs w:val="27"/>
        </w:rPr>
      </w:r>
      <w:r>
        <w:rPr>
          <w:rStyle w:val="1011"/>
          <w:sz w:val="27"/>
          <w:szCs w:val="27"/>
        </w:rPr>
      </w:r>
    </w:p>
    <w:p>
      <w:pPr>
        <w:pStyle w:val="1013"/>
        <w:numPr>
          <w:ilvl w:val="0"/>
          <w:numId w:val="19"/>
        </w:numPr>
        <w:ind w:left="0" w:firstLine="709"/>
        <w:spacing w:before="0" w:line="240" w:lineRule="auto"/>
        <w:shd w:val="clear" w:color="auto" w:fill="auto"/>
        <w:tabs>
          <w:tab w:val="left" w:pos="1348" w:leader="none"/>
        </w:tabs>
        <w:rPr>
          <w:rStyle w:val="1011"/>
          <w:sz w:val="27"/>
          <w:szCs w:val="27"/>
        </w:rPr>
        <w:suppressLineNumbers w:val="0"/>
      </w:pPr>
      <w:r>
        <w:rPr>
          <w:rStyle w:val="1011"/>
          <w:sz w:val="27"/>
          <w:szCs w:val="27"/>
        </w:rPr>
        <w:t xml:space="preserve">Больные туберкулезом вне зависимости от лекарственной устойчивости, проживающие в очаге туберкулезной инфекции 1 степени эпидемической опасности подлежат госпитализации до прекращения бактериовыделения.</w:t>
      </w:r>
      <w:r>
        <w:rPr>
          <w:rStyle w:val="1011"/>
          <w:sz w:val="27"/>
          <w:szCs w:val="27"/>
        </w:rPr>
      </w:r>
      <w:r>
        <w:rPr>
          <w:rStyle w:val="1011"/>
          <w:sz w:val="27"/>
          <w:szCs w:val="27"/>
        </w:rPr>
      </w:r>
    </w:p>
    <w:p>
      <w:pPr>
        <w:pStyle w:val="1013"/>
        <w:numPr>
          <w:ilvl w:val="0"/>
          <w:numId w:val="19"/>
        </w:numPr>
        <w:ind w:left="0" w:firstLine="709"/>
        <w:spacing w:before="0" w:line="240" w:lineRule="auto"/>
        <w:shd w:val="clear" w:color="auto" w:fill="auto"/>
        <w:tabs>
          <w:tab w:val="left" w:pos="1348" w:leader="none"/>
        </w:tabs>
        <w:rPr>
          <w:color w:val="auto"/>
          <w:sz w:val="32"/>
          <w:szCs w:val="32"/>
          <w:shd w:val="clear" w:color="auto" w:fill="auto"/>
        </w:rPr>
        <w:suppressLineNumbers w:val="0"/>
      </w:pPr>
      <w:r>
        <w:rPr>
          <w:rStyle w:val="1011"/>
          <w:sz w:val="27"/>
          <w:szCs w:val="27"/>
        </w:rPr>
        <w:t xml:space="preserve">Организация оказания фтизиатрической помощи больным туберкулезом при наличии ВИЧ-инфекции проводится на основании общих требований в соответствии </w:t>
      </w:r>
      <w:r>
        <w:rPr>
          <w:rStyle w:val="1011"/>
          <w:sz w:val="27"/>
          <w:szCs w:val="27"/>
        </w:rPr>
        <w:t xml:space="preserve">с к</w:t>
      </w:r>
      <w:r>
        <w:rPr>
          <w:rStyle w:val="1011"/>
          <w:sz w:val="27"/>
          <w:szCs w:val="27"/>
        </w:rPr>
        <w:t xml:space="preserve">л</w:t>
      </w:r>
      <w:r>
        <w:rPr>
          <w:rStyle w:val="1011"/>
          <w:sz w:val="27"/>
          <w:szCs w:val="27"/>
        </w:rPr>
        <w:t xml:space="preserve">инической формой туберкулеза и </w:t>
      </w:r>
      <w:r>
        <w:rPr>
          <w:rStyle w:val="1011"/>
          <w:sz w:val="27"/>
          <w:szCs w:val="27"/>
        </w:rPr>
        <w:t xml:space="preserve">степенью эпидемической опасности.</w:t>
      </w:r>
      <w:r>
        <w:rPr>
          <w:color w:val="auto"/>
          <w:sz w:val="32"/>
          <w:szCs w:val="32"/>
          <w:shd w:val="clear" w:color="auto" w:fill="auto"/>
        </w:rPr>
      </w:r>
      <w:r>
        <w:rPr>
          <w:color w:val="auto"/>
          <w:sz w:val="32"/>
          <w:szCs w:val="32"/>
          <w:shd w:val="clear" w:color="auto" w:fill="auto"/>
        </w:rPr>
      </w:r>
    </w:p>
    <w:p>
      <w:pPr>
        <w:pStyle w:val="1013"/>
        <w:numPr>
          <w:ilvl w:val="0"/>
          <w:numId w:val="19"/>
        </w:numPr>
        <w:ind w:left="0" w:firstLine="709"/>
        <w:spacing w:before="0" w:line="240" w:lineRule="auto"/>
        <w:shd w:val="clear" w:color="auto" w:fill="auto"/>
        <w:tabs>
          <w:tab w:val="left" w:pos="1348" w:leader="none"/>
        </w:tabs>
        <w:rPr>
          <w:color w:val="auto"/>
          <w:sz w:val="32"/>
          <w:szCs w:val="32"/>
          <w:shd w:val="clear" w:color="auto" w:fill="auto"/>
        </w:rPr>
        <w:suppressLineNumbers w:val="0"/>
      </w:pPr>
      <w:r>
        <w:rPr>
          <w:rStyle w:val="1011"/>
          <w:sz w:val="27"/>
          <w:szCs w:val="27"/>
        </w:rPr>
        <w:t xml:space="preserve">Направление на стационарное лечение оформ</w:t>
      </w:r>
      <w:r>
        <w:rPr>
          <w:rStyle w:val="1011"/>
          <w:sz w:val="27"/>
          <w:szCs w:val="27"/>
        </w:rPr>
        <w:t xml:space="preserve">ляется в соответствии с формой </w:t>
      </w:r>
      <w:r>
        <w:rPr>
          <w:rStyle w:val="1011"/>
          <w:sz w:val="27"/>
          <w:szCs w:val="27"/>
        </w:rPr>
        <w:t xml:space="preserve">утвержденной </w:t>
      </w:r>
      <w:r>
        <w:rPr>
          <w:rStyle w:val="1011"/>
          <w:color w:val="auto"/>
          <w:sz w:val="27"/>
          <w:szCs w:val="27"/>
        </w:rPr>
        <w:t xml:space="preserve">настоящим </w:t>
      </w:r>
      <w:r>
        <w:rPr>
          <w:rStyle w:val="1011"/>
          <w:color w:val="auto"/>
          <w:sz w:val="27"/>
          <w:szCs w:val="27"/>
        </w:rPr>
        <w:t xml:space="preserve">приказом</w:t>
      </w:r>
      <w:r>
        <w:rPr>
          <w:rStyle w:val="1011"/>
          <w:sz w:val="27"/>
          <w:szCs w:val="27"/>
        </w:rPr>
        <w:t xml:space="preserve">.</w:t>
      </w:r>
      <w:r>
        <w:rPr>
          <w:rStyle w:val="1011"/>
          <w:sz w:val="27"/>
          <w:szCs w:val="27"/>
        </w:rPr>
        <w:t xml:space="preserve"> </w:t>
      </w:r>
      <w:r>
        <w:rPr>
          <w:color w:val="auto"/>
          <w:sz w:val="32"/>
          <w:szCs w:val="32"/>
          <w:shd w:val="clear" w:color="auto" w:fill="auto"/>
        </w:rPr>
      </w:r>
      <w:r>
        <w:rPr>
          <w:color w:val="auto"/>
          <w:sz w:val="32"/>
          <w:szCs w:val="32"/>
          <w:shd w:val="clear" w:color="auto" w:fill="auto"/>
        </w:rPr>
      </w:r>
    </w:p>
    <w:p>
      <w:pPr>
        <w:pStyle w:val="1013"/>
        <w:numPr>
          <w:ilvl w:val="0"/>
          <w:numId w:val="19"/>
        </w:numPr>
        <w:ind w:left="0" w:firstLine="709"/>
        <w:spacing w:before="0" w:line="240" w:lineRule="auto"/>
        <w:shd w:val="clear" w:color="auto" w:fill="auto"/>
        <w:tabs>
          <w:tab w:val="left" w:pos="1348" w:leader="none"/>
        </w:tabs>
        <w:rPr>
          <w:rStyle w:val="1011"/>
          <w:sz w:val="27"/>
          <w:szCs w:val="27"/>
        </w:rPr>
        <w:suppressLineNumbers w:val="0"/>
      </w:pPr>
      <w:r>
        <w:rPr>
          <w:rStyle w:val="1011"/>
          <w:sz w:val="27"/>
          <w:szCs w:val="27"/>
        </w:rPr>
        <w:t xml:space="preserve">При наличии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помощи, он</w:t>
      </w:r>
      <w:r>
        <w:rPr>
          <w:rStyle w:val="1011"/>
          <w:sz w:val="27"/>
          <w:szCs w:val="27"/>
        </w:rPr>
        <w:t xml:space="preserve"> </w:t>
      </w:r>
      <w:r>
        <w:rPr>
          <w:rStyle w:val="1011"/>
          <w:sz w:val="27"/>
          <w:szCs w:val="27"/>
        </w:rPr>
        <w:t xml:space="preserve">направля</w:t>
      </w:r>
      <w:r>
        <w:rPr>
          <w:rStyle w:val="1011"/>
          <w:sz w:val="27"/>
          <w:szCs w:val="27"/>
        </w:rPr>
        <w:t xml:space="preserve">ется:</w:t>
      </w:r>
      <w:r>
        <w:rPr>
          <w:rStyle w:val="1011"/>
          <w:sz w:val="27"/>
          <w:szCs w:val="27"/>
        </w:rPr>
        <w:t xml:space="preserve"> в Федеральное государственное бюджетное учреждение «Новосибирский научно-исследовательский институт туберкулеза» Министерства здрав</w:t>
      </w:r>
      <w:r>
        <w:rPr>
          <w:rStyle w:val="1011"/>
          <w:sz w:val="27"/>
          <w:szCs w:val="27"/>
        </w:rPr>
        <w:t xml:space="preserve">оохранения Российской Федерации;</w:t>
      </w:r>
      <w:r>
        <w:rPr>
          <w:rStyle w:val="1011"/>
          <w:sz w:val="27"/>
          <w:szCs w:val="27"/>
        </w:rPr>
        <w:t xml:space="preserve"> </w:t>
      </w:r>
      <w:r>
        <w:rPr>
          <w:rStyle w:val="1011"/>
          <w:sz w:val="27"/>
          <w:szCs w:val="27"/>
        </w:rPr>
        <w:t xml:space="preserve">Федеральное государственное бюджетное учреждение «Национальный медицинский исследовательский центр фтизиопульмонологии и инфекционных заболеваний» Министерства здравоохранения Российской Федерации; </w:t>
      </w:r>
      <w:r>
        <w:rPr>
          <w:rStyle w:val="1011"/>
          <w:sz w:val="27"/>
          <w:szCs w:val="27"/>
        </w:rPr>
        <w:t xml:space="preserve">Федеральное государственное бюджетное учреждени</w:t>
      </w:r>
      <w:r>
        <w:rPr>
          <w:rStyle w:val="1011"/>
          <w:sz w:val="27"/>
          <w:szCs w:val="27"/>
        </w:rPr>
        <w:t xml:space="preserve">е «Центральный научно-исследовательский институт туберкулеза» Министерства здравоохранения Российской Федерации, Федеральное государственное бюджетное учреждение «Санкт-Петербургский научно-исследовательский институт фтизиопульмонологии» Министерства здрав</w:t>
      </w:r>
      <w:r>
        <w:rPr>
          <w:rStyle w:val="1011"/>
          <w:sz w:val="27"/>
          <w:szCs w:val="27"/>
        </w:rPr>
        <w:t xml:space="preserve">оохранения Российской Федерации</w:t>
      </w:r>
      <w:r>
        <w:rPr>
          <w:rStyle w:val="1011"/>
          <w:sz w:val="27"/>
          <w:szCs w:val="27"/>
          <w:vertAlign w:val="superscript"/>
        </w:rPr>
        <w:t xml:space="preserve">1</w:t>
      </w:r>
      <w:r>
        <w:rPr>
          <w:rStyle w:val="1011"/>
          <w:sz w:val="27"/>
          <w:szCs w:val="27"/>
        </w:rPr>
        <w:t xml:space="preserve">.</w:t>
      </w:r>
      <w:r>
        <w:rPr>
          <w:rStyle w:val="1011"/>
          <w:sz w:val="27"/>
          <w:szCs w:val="27"/>
        </w:rPr>
      </w:r>
      <w:r>
        <w:rPr>
          <w:rStyle w:val="1011"/>
          <w:sz w:val="27"/>
          <w:szCs w:val="27"/>
        </w:rPr>
      </w:r>
    </w:p>
    <w:p>
      <w:pPr>
        <w:pStyle w:val="1013"/>
        <w:numPr>
          <w:ilvl w:val="0"/>
          <w:numId w:val="19"/>
        </w:numPr>
        <w:ind w:left="0" w:firstLine="709"/>
        <w:spacing w:before="0" w:line="240" w:lineRule="auto"/>
        <w:shd w:val="clear" w:color="auto" w:fill="auto"/>
        <w:tabs>
          <w:tab w:val="left" w:pos="1348" w:leader="none"/>
        </w:tabs>
        <w:rPr>
          <w:rFonts w:eastAsiaTheme="minorHAnsi"/>
          <w:b/>
          <w:bCs/>
          <w:spacing w:val="70"/>
          <w:sz w:val="32"/>
          <w:szCs w:val="32"/>
        </w:rPr>
        <w:suppressLineNumbers w:val="0"/>
      </w:pPr>
      <w:r>
        <w:rPr>
          <w:rStyle w:val="1011"/>
          <w:sz w:val="27"/>
          <w:szCs w:val="27"/>
        </w:rPr>
        <w:t xml:space="preserve">С момента установления диагноза: Туберкулез больные подлежат диспансерному наблюдению</w:t>
      </w:r>
      <w:r>
        <w:rPr>
          <w:rStyle w:val="1011"/>
          <w:rFonts w:eastAsiaTheme="minorHAnsi"/>
          <w:sz w:val="27"/>
          <w:szCs w:val="27"/>
        </w:rPr>
        <w:t xml:space="preserve"> у врача-фтизиатра </w:t>
      </w:r>
      <w:r>
        <w:rPr>
          <w:rStyle w:val="1011"/>
          <w:rFonts w:eastAsiaTheme="minorHAnsi"/>
          <w:sz w:val="27"/>
          <w:szCs w:val="27"/>
        </w:rPr>
        <w:t xml:space="preserve">по месту фактического проживания.</w:t>
      </w:r>
      <w:r>
        <w:rPr>
          <w:rFonts w:eastAsiaTheme="minorHAnsi"/>
          <w:b/>
          <w:bCs/>
          <w:spacing w:val="70"/>
          <w:sz w:val="32"/>
          <w:szCs w:val="32"/>
        </w:rPr>
      </w:r>
      <w:r>
        <w:rPr>
          <w:rFonts w:eastAsiaTheme="minorHAnsi"/>
          <w:b/>
          <w:bCs/>
          <w:spacing w:val="70"/>
          <w:sz w:val="32"/>
          <w:szCs w:val="32"/>
        </w:rPr>
      </w:r>
    </w:p>
    <w:p>
      <w:pPr>
        <w:pStyle w:val="1013"/>
        <w:ind w:left="580" w:firstLine="0"/>
        <w:spacing w:before="0" w:line="293" w:lineRule="exact"/>
        <w:shd w:val="clear" w:color="auto" w:fill="auto"/>
        <w:tabs>
          <w:tab w:val="left" w:pos="1348" w:leader="none"/>
        </w:tabs>
        <w:rPr>
          <w:rFonts w:eastAsiaTheme="minorHAnsi"/>
          <w:b/>
          <w:bCs/>
          <w:spacing w:val="70"/>
          <w:sz w:val="26"/>
          <w:szCs w:val="26"/>
        </w:rPr>
      </w:pPr>
      <w:r>
        <w:rPr>
          <w:rFonts w:eastAsiaTheme="minorHAnsi"/>
          <w:b/>
          <w:bCs/>
          <w:spacing w:val="70"/>
          <w:sz w:val="26"/>
          <w:szCs w:val="26"/>
        </w:rPr>
      </w:r>
      <w:r>
        <w:rPr>
          <w:rFonts w:eastAsiaTheme="minorHAnsi"/>
          <w:b/>
          <w:bCs/>
          <w:spacing w:val="70"/>
          <w:sz w:val="26"/>
          <w:szCs w:val="26"/>
        </w:rPr>
      </w:r>
      <w:r>
        <w:rPr>
          <w:rFonts w:eastAsiaTheme="minorHAnsi"/>
          <w:b/>
          <w:bCs/>
          <w:spacing w:val="70"/>
          <w:sz w:val="26"/>
          <w:szCs w:val="26"/>
        </w:rPr>
      </w:r>
    </w:p>
    <w:p>
      <w:pPr>
        <w:rPr>
          <w:rStyle w:val="1011"/>
          <w:rFonts w:eastAsiaTheme="minorHAnsi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Style w:val="1011"/>
          <w:rFonts w:eastAsiaTheme="minorHAnsi"/>
          <w:bCs/>
          <w:spacing w:val="70"/>
          <w:sz w:val="22"/>
          <w:szCs w:val="26"/>
        </w:rPr>
        <w:t xml:space="preserve">1 </w:t>
      </w:r>
      <w:r>
        <w:rPr>
          <w:rStyle w:val="1011"/>
          <w:rFonts w:eastAsiaTheme="minorHAnsi"/>
          <w:bCs/>
          <w:sz w:val="20"/>
        </w:rPr>
        <w:t xml:space="preserve">– раздел 2 п.12.Приказа Министерства здравоохранения РФ от 2 октября 2019 г. N 824н “Об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здравоохранения”</w:t>
      </w:r>
      <w:r>
        <w:rPr>
          <w:rStyle w:val="1011"/>
          <w:rFonts w:eastAsiaTheme="minorHAnsi"/>
        </w:rPr>
      </w:r>
      <w:r>
        <w:rPr>
          <w:rStyle w:val="1011"/>
          <w:rFonts w:eastAsiaTheme="minorHAnsi"/>
        </w:rPr>
      </w:r>
    </w:p>
    <w:p>
      <w:r/>
    </w:p>
    <w:sectPr>
      <w:footnotePr/>
      <w:endnotePr/>
      <w:type w:val="nextPage"/>
      <w:pgSz w:w="11906" w:h="16838" w:orient="portrait"/>
      <w:pgMar w:top="1134" w:right="567" w:bottom="1134" w:left="1417" w:header="397" w:footer="51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7912399"/>
      <w:docPartObj>
        <w:docPartGallery w:val="Page Numbers (Top of Page)"/>
        <w:docPartUnique w:val="true"/>
      </w:docPartObj>
      <w:rPr/>
    </w:sdtPr>
    <w:sdtContent>
      <w:p>
        <w:pPr>
          <w:pStyle w:val="81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17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78"/>
      </w:rPr>
      <w:framePr w:wrap="around" w:vAnchor="text" w:hAnchor="margin" w:xAlign="center" w:y="1"/>
    </w:pPr>
    <w:r>
      <w:rPr>
        <w:rStyle w:val="978"/>
      </w:rPr>
      <w:fldChar w:fldCharType="begin"/>
    </w:r>
    <w:r>
      <w:rPr>
        <w:rStyle w:val="978"/>
      </w:rPr>
      <w:instrText xml:space="preserve">PAGE  </w:instrText>
    </w:r>
    <w:r>
      <w:rPr>
        <w:rStyle w:val="978"/>
      </w:rPr>
      <w:fldChar w:fldCharType="separate"/>
    </w:r>
    <w:r>
      <w:rPr>
        <w:rStyle w:val="978"/>
      </w:rPr>
      <w:t xml:space="preserve">2</w:t>
    </w:r>
    <w:r>
      <w:rPr>
        <w:rStyle w:val="978"/>
      </w:rPr>
      <w:fldChar w:fldCharType="end"/>
    </w:r>
    <w:r>
      <w:rPr>
        <w:rStyle w:val="978"/>
      </w:rPr>
    </w:r>
    <w:r>
      <w:rPr>
        <w:rStyle w:val="978"/>
      </w:rPr>
    </w:r>
  </w:p>
  <w:p>
    <w:pPr>
      <w:pStyle w:val="8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8" w:hanging="450"/>
        <w:tabs>
          <w:tab w:val="num" w:pos="115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3"/>
      <w:numFmt w:val="decimal"/>
      <w:pStyle w:val="968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russianLower"/>
      <w:isLgl w:val="false"/>
      <w:suff w:val="tab"/>
      <w:lvlText w:val="%2)"/>
      <w:lvlJc w:val="left"/>
      <w:pPr>
        <w:ind w:left="792" w:hanging="432"/>
      </w:pPr>
      <w:rPr>
        <w:rFonts w:ascii="Times New Roman" w:hAnsi="Times New Roman" w:eastAsia="Times New Roman" w:cs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  <w:qFormat/>
    <w:rPr>
      <w:sz w:val="24"/>
      <w:szCs w:val="24"/>
    </w:rPr>
  </w:style>
  <w:style w:type="paragraph" w:styleId="747">
    <w:name w:val="Heading 1"/>
    <w:basedOn w:val="746"/>
    <w:next w:val="746"/>
    <w:link w:val="962"/>
    <w:qFormat/>
    <w:pPr>
      <w:jc w:val="center"/>
      <w:keepNext/>
      <w:outlineLvl w:val="0"/>
    </w:pPr>
    <w:rPr>
      <w:b/>
      <w:bCs/>
      <w:szCs w:val="20"/>
    </w:rPr>
  </w:style>
  <w:style w:type="paragraph" w:styleId="748">
    <w:name w:val="Heading 2"/>
    <w:basedOn w:val="746"/>
    <w:next w:val="746"/>
    <w:link w:val="963"/>
    <w:qFormat/>
    <w:pPr>
      <w:jc w:val="center"/>
      <w:keepNext/>
      <w:outlineLvl w:val="1"/>
    </w:pPr>
    <w:rPr>
      <w:szCs w:val="20"/>
    </w:rPr>
  </w:style>
  <w:style w:type="paragraph" w:styleId="749">
    <w:name w:val="Heading 3"/>
    <w:basedOn w:val="746"/>
    <w:next w:val="746"/>
    <w:link w:val="79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50">
    <w:name w:val="Heading 4"/>
    <w:basedOn w:val="746"/>
    <w:next w:val="746"/>
    <w:link w:val="795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51">
    <w:name w:val="Heading 5"/>
    <w:basedOn w:val="746"/>
    <w:next w:val="746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2">
    <w:name w:val="Heading 6"/>
    <w:basedOn w:val="746"/>
    <w:next w:val="746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table" w:styleId="759">
    <w:name w:val="Plain Table 1"/>
    <w:basedOn w:val="7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5 Dark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>
    <w:name w:val="Grid Table 7 Colorful"/>
    <w:basedOn w:val="7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>
    <w:name w:val="List Table 1 Light"/>
    <w:basedOn w:val="7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7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7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>
    <w:name w:val="List Table 7 Colorful"/>
    <w:basedOn w:val="7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7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85" w:customStyle="1">
    <w:name w:val="Title Char"/>
    <w:uiPriority w:val="10"/>
    <w:rPr>
      <w:sz w:val="48"/>
      <w:szCs w:val="48"/>
    </w:rPr>
  </w:style>
  <w:style w:type="character" w:styleId="786" w:customStyle="1">
    <w:name w:val="Subtitle Char"/>
    <w:uiPriority w:val="11"/>
    <w:rPr>
      <w:sz w:val="24"/>
      <w:szCs w:val="24"/>
    </w:rPr>
  </w:style>
  <w:style w:type="character" w:styleId="787" w:customStyle="1">
    <w:name w:val="Quote Char"/>
    <w:uiPriority w:val="29"/>
    <w:rPr>
      <w:i/>
    </w:rPr>
  </w:style>
  <w:style w:type="character" w:styleId="788" w:customStyle="1">
    <w:name w:val="Intense Quote Char"/>
    <w:uiPriority w:val="30"/>
    <w:rPr>
      <w:i/>
    </w:rPr>
  </w:style>
  <w:style w:type="character" w:styleId="789" w:customStyle="1">
    <w:name w:val="Header Char"/>
    <w:basedOn w:val="756"/>
    <w:uiPriority w:val="99"/>
  </w:style>
  <w:style w:type="character" w:styleId="790" w:customStyle="1">
    <w:name w:val="Footnote Text Char"/>
    <w:uiPriority w:val="99"/>
    <w:rPr>
      <w:sz w:val="18"/>
    </w:rPr>
  </w:style>
  <w:style w:type="character" w:styleId="791" w:customStyle="1">
    <w:name w:val="Endnote Text Char"/>
    <w:uiPriority w:val="99"/>
    <w:rPr>
      <w:sz w:val="20"/>
    </w:rPr>
  </w:style>
  <w:style w:type="character" w:styleId="79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uiPriority w:val="9"/>
    <w:rPr>
      <w:rFonts w:ascii="Arial" w:hAnsi="Arial" w:eastAsia="Arial" w:cs="Arial"/>
      <w:sz w:val="34"/>
    </w:rPr>
  </w:style>
  <w:style w:type="character" w:styleId="794" w:customStyle="1">
    <w:name w:val="Заголовок 3 Знак"/>
    <w:link w:val="749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746"/>
    <w:qFormat/>
    <w:pPr>
      <w:contextualSpacing/>
      <w:ind w:left="720" w:firstLine="660"/>
      <w:jc w:val="both"/>
      <w:spacing w:line="300" w:lineRule="auto"/>
      <w:widowControl w:val="off"/>
    </w:pPr>
    <w:rPr>
      <w:sz w:val="28"/>
      <w:szCs w:val="20"/>
    </w:rPr>
  </w:style>
  <w:style w:type="paragraph" w:styleId="802">
    <w:name w:val="No Spacing"/>
    <w:uiPriority w:val="1"/>
    <w:qFormat/>
    <w:rPr>
      <w:lang w:eastAsia="zh-CN"/>
    </w:rPr>
  </w:style>
  <w:style w:type="paragraph" w:styleId="803">
    <w:name w:val="Title"/>
    <w:basedOn w:val="746"/>
    <w:next w:val="746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 w:customStyle="1">
    <w:name w:val="Заголовок Знак"/>
    <w:link w:val="803"/>
    <w:uiPriority w:val="10"/>
    <w:rPr>
      <w:sz w:val="48"/>
      <w:szCs w:val="48"/>
    </w:rPr>
  </w:style>
  <w:style w:type="paragraph" w:styleId="805">
    <w:name w:val="Subtitle"/>
    <w:basedOn w:val="746"/>
    <w:next w:val="746"/>
    <w:link w:val="806"/>
    <w:uiPriority w:val="11"/>
    <w:qFormat/>
    <w:pPr>
      <w:spacing w:before="200" w:after="200"/>
    </w:pPr>
  </w:style>
  <w:style w:type="character" w:styleId="806" w:customStyle="1">
    <w:name w:val="Подзаголовок Знак"/>
    <w:link w:val="805"/>
    <w:uiPriority w:val="11"/>
    <w:rPr>
      <w:sz w:val="24"/>
      <w:szCs w:val="24"/>
    </w:rPr>
  </w:style>
  <w:style w:type="paragraph" w:styleId="807">
    <w:name w:val="Quote"/>
    <w:basedOn w:val="746"/>
    <w:next w:val="746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46"/>
    <w:next w:val="746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paragraph" w:styleId="811">
    <w:name w:val="Header"/>
    <w:basedOn w:val="746"/>
    <w:link w:val="812"/>
    <w:uiPriority w:val="99"/>
    <w:pPr>
      <w:tabs>
        <w:tab w:val="center" w:pos="4677" w:leader="none"/>
        <w:tab w:val="right" w:pos="9355" w:leader="none"/>
      </w:tabs>
    </w:pPr>
  </w:style>
  <w:style w:type="character" w:styleId="812" w:customStyle="1">
    <w:name w:val="Верхний колонтитул Знак"/>
    <w:link w:val="811"/>
    <w:uiPriority w:val="99"/>
  </w:style>
  <w:style w:type="paragraph" w:styleId="813">
    <w:name w:val="Footer"/>
    <w:basedOn w:val="746"/>
    <w:link w:val="992"/>
    <w:pPr>
      <w:tabs>
        <w:tab w:val="center" w:pos="4677" w:leader="none"/>
        <w:tab w:val="right" w:pos="9355" w:leader="none"/>
      </w:tabs>
    </w:pPr>
  </w:style>
  <w:style w:type="character" w:styleId="814" w:customStyle="1">
    <w:name w:val="Footer Char"/>
    <w:uiPriority w:val="99"/>
  </w:style>
  <w:style w:type="paragraph" w:styleId="815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16" w:customStyle="1">
    <w:name w:val="Caption Char"/>
    <w:uiPriority w:val="99"/>
  </w:style>
  <w:style w:type="table" w:styleId="817">
    <w:name w:val="Table Grid"/>
    <w:basedOn w:val="757"/>
    <w:tblPr/>
  </w:style>
  <w:style w:type="table" w:styleId="81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2"/>
    <w:link w:val="99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3">
    <w:name w:val="Hyperlink"/>
    <w:rPr>
      <w:color w:val="0000ff"/>
      <w:u w:val="single"/>
    </w:rPr>
  </w:style>
  <w:style w:type="paragraph" w:styleId="944">
    <w:name w:val="footnote text"/>
    <w:basedOn w:val="746"/>
    <w:link w:val="945"/>
    <w:uiPriority w:val="99"/>
    <w:semiHidden/>
    <w:unhideWhenUsed/>
    <w:pPr>
      <w:spacing w:after="40"/>
    </w:pPr>
    <w:rPr>
      <w:sz w:val="18"/>
    </w:rPr>
  </w:style>
  <w:style w:type="character" w:styleId="945" w:customStyle="1">
    <w:name w:val="Текст сноски Знак"/>
    <w:link w:val="944"/>
    <w:uiPriority w:val="99"/>
    <w:rPr>
      <w:sz w:val="18"/>
    </w:rPr>
  </w:style>
  <w:style w:type="character" w:styleId="946">
    <w:name w:val="footnote reference"/>
    <w:uiPriority w:val="99"/>
    <w:unhideWhenUsed/>
    <w:rPr>
      <w:vertAlign w:val="superscript"/>
    </w:rPr>
  </w:style>
  <w:style w:type="paragraph" w:styleId="947">
    <w:name w:val="endnote text"/>
    <w:basedOn w:val="746"/>
    <w:link w:val="948"/>
    <w:uiPriority w:val="99"/>
    <w:semiHidden/>
    <w:unhideWhenUsed/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character" w:styleId="949">
    <w:name w:val="endnote reference"/>
    <w:uiPriority w:val="99"/>
    <w:semiHidden/>
    <w:unhideWhenUsed/>
    <w:rPr>
      <w:vertAlign w:val="superscript"/>
    </w:rPr>
  </w:style>
  <w:style w:type="paragraph" w:styleId="950">
    <w:name w:val="toc 1"/>
    <w:basedOn w:val="746"/>
    <w:next w:val="746"/>
    <w:uiPriority w:val="39"/>
    <w:unhideWhenUsed/>
    <w:pPr>
      <w:spacing w:after="57"/>
    </w:pPr>
  </w:style>
  <w:style w:type="paragraph" w:styleId="951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52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53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54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55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56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57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58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59">
    <w:name w:val="TOC Heading"/>
    <w:uiPriority w:val="39"/>
    <w:unhideWhenUsed/>
    <w:rPr>
      <w:lang w:eastAsia="zh-CN"/>
    </w:rPr>
  </w:style>
  <w:style w:type="paragraph" w:styleId="960">
    <w:name w:val="table of figures"/>
    <w:basedOn w:val="746"/>
    <w:next w:val="746"/>
    <w:uiPriority w:val="99"/>
    <w:unhideWhenUsed/>
  </w:style>
  <w:style w:type="paragraph" w:styleId="961">
    <w:name w:val="Body Text"/>
    <w:basedOn w:val="746"/>
    <w:link w:val="988"/>
    <w:pPr>
      <w:spacing w:after="120"/>
    </w:pPr>
  </w:style>
  <w:style w:type="character" w:styleId="962" w:customStyle="1">
    <w:name w:val="Заголовок 1 Знак"/>
    <w:link w:val="747"/>
    <w:rPr>
      <w:b/>
      <w:bCs/>
      <w:sz w:val="24"/>
      <w:lang w:val="ru-RU" w:eastAsia="ru-RU" w:bidi="ar-SA"/>
    </w:rPr>
  </w:style>
  <w:style w:type="character" w:styleId="963" w:customStyle="1">
    <w:name w:val="Заголовок 2 Знак"/>
    <w:link w:val="748"/>
    <w:semiHidden/>
    <w:rPr>
      <w:sz w:val="24"/>
      <w:lang w:val="ru-RU" w:eastAsia="ru-RU" w:bidi="ar-SA"/>
    </w:rPr>
  </w:style>
  <w:style w:type="paragraph" w:styleId="964" w:customStyle="1">
    <w:name w:val="Название1"/>
    <w:basedOn w:val="746"/>
    <w:link w:val="965"/>
    <w:qFormat/>
    <w:pPr>
      <w:jc w:val="center"/>
    </w:pPr>
    <w:rPr>
      <w:rFonts w:ascii="Courier New" w:hAnsi="Courier New" w:cs="Courier New"/>
      <w:sz w:val="20"/>
      <w:szCs w:val="20"/>
    </w:rPr>
  </w:style>
  <w:style w:type="character" w:styleId="965" w:customStyle="1">
    <w:name w:val="Знак Знак2"/>
    <w:link w:val="964"/>
    <w:rPr>
      <w:rFonts w:ascii="Courier New" w:hAnsi="Courier New" w:cs="Courier New"/>
      <w:lang w:val="ru-RU" w:eastAsia="ru-RU" w:bidi="ar-SA"/>
    </w:rPr>
  </w:style>
  <w:style w:type="paragraph" w:styleId="966" w:customStyle="1">
    <w:name w:val="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7">
    <w:name w:val="Normal (Web)"/>
    <w:basedOn w:val="746"/>
    <w:uiPriority w:val="99"/>
    <w:pPr>
      <w:spacing w:after="240"/>
    </w:pPr>
  </w:style>
  <w:style w:type="paragraph" w:styleId="968" w:customStyle="1">
    <w:name w:val="body text Знак Знак"/>
    <w:link w:val="969"/>
    <w:pPr>
      <w:numPr>
        <w:ilvl w:val="0"/>
        <w:numId w:val="4"/>
      </w:numPr>
      <w:jc w:val="both"/>
    </w:pPr>
    <w:rPr>
      <w:sz w:val="24"/>
      <w:szCs w:val="24"/>
    </w:rPr>
  </w:style>
  <w:style w:type="character" w:styleId="969" w:customStyle="1">
    <w:name w:val="body text Знак Знак Знак1"/>
    <w:link w:val="968"/>
    <w:rPr>
      <w:sz w:val="24"/>
      <w:szCs w:val="24"/>
      <w:lang w:val="ru-RU" w:eastAsia="ru-RU" w:bidi="ar-SA"/>
    </w:rPr>
  </w:style>
  <w:style w:type="paragraph" w:styleId="970" w:customStyle="1">
    <w:name w:val="body_text Знак Знак"/>
    <w:pPr>
      <w:ind w:firstLine="709"/>
      <w:jc w:val="both"/>
    </w:pPr>
    <w:rPr>
      <w:sz w:val="24"/>
      <w:szCs w:val="24"/>
    </w:rPr>
  </w:style>
  <w:style w:type="character" w:styleId="971" w:customStyle="1">
    <w:name w:val="body text Знак Знак Знак"/>
    <w:rPr>
      <w:rFonts w:cs="Times New Roman"/>
      <w:sz w:val="24"/>
      <w:szCs w:val="24"/>
      <w:lang w:val="ru-RU" w:eastAsia="ru-RU" w:bidi="ar-SA"/>
    </w:rPr>
  </w:style>
  <w:style w:type="paragraph" w:styleId="972">
    <w:name w:val="Body Text Indent 2"/>
    <w:basedOn w:val="746"/>
    <w:link w:val="973"/>
    <w:pPr>
      <w:ind w:left="283"/>
      <w:jc w:val="center"/>
      <w:keepNext/>
      <w:spacing w:after="120" w:line="480" w:lineRule="auto"/>
      <w:widowControl w:val="off"/>
    </w:pPr>
    <w:rPr>
      <w:sz w:val="28"/>
      <w:szCs w:val="20"/>
    </w:rPr>
  </w:style>
  <w:style w:type="character" w:styleId="973" w:customStyle="1">
    <w:name w:val="Основной текст с отступом 2 Знак"/>
    <w:link w:val="972"/>
    <w:rPr>
      <w:sz w:val="28"/>
      <w:lang w:val="ru-RU" w:eastAsia="ru-RU" w:bidi="ar-SA"/>
    </w:rPr>
  </w:style>
  <w:style w:type="character" w:styleId="974" w:customStyle="1">
    <w:name w:val="body_text Знак Знак Знак"/>
    <w:rPr>
      <w:rFonts w:cs="Times New Roman"/>
      <w:sz w:val="24"/>
      <w:szCs w:val="24"/>
      <w:lang w:val="ru-RU" w:eastAsia="ru-RU" w:bidi="ar-SA"/>
    </w:rPr>
  </w:style>
  <w:style w:type="paragraph" w:styleId="975" w:customStyle="1">
    <w:name w:val="Наименование таблицы Знак"/>
    <w:next w:val="746"/>
    <w:pPr>
      <w:jc w:val="center"/>
    </w:pPr>
    <w:rPr>
      <w:b/>
      <w:sz w:val="22"/>
    </w:rPr>
  </w:style>
  <w:style w:type="paragraph" w:styleId="976" w:customStyle="1">
    <w:name w:val="Знак1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7" w:customStyle="1">
    <w:name w:val="Основной текст гд"/>
    <w:basedOn w:val="961"/>
    <w:pPr>
      <w:jc w:val="center"/>
      <w:keepNext/>
      <w:spacing w:after="0"/>
      <w:widowControl w:val="off"/>
    </w:pPr>
    <w:rPr>
      <w:sz w:val="22"/>
    </w:rPr>
  </w:style>
  <w:style w:type="character" w:styleId="978">
    <w:name w:val="page number"/>
    <w:basedOn w:val="756"/>
  </w:style>
  <w:style w:type="paragraph" w:styleId="979" w:customStyle="1">
    <w:name w:val="ConsPlusNormal"/>
    <w:rPr>
      <w:rFonts w:ascii="Arial" w:hAnsi="Arial" w:eastAsia="MS Mincho" w:cs="Arial"/>
      <w:lang w:eastAsia="ja-JP"/>
    </w:rPr>
  </w:style>
  <w:style w:type="paragraph" w:styleId="980">
    <w:name w:val="Body Text Indent"/>
    <w:basedOn w:val="746"/>
    <w:pPr>
      <w:ind w:left="283"/>
      <w:spacing w:after="120"/>
    </w:pPr>
  </w:style>
  <w:style w:type="paragraph" w:styleId="981" w:customStyle="1">
    <w:name w:val="Heading"/>
    <w:rPr>
      <w:rFonts w:ascii="Arial" w:hAnsi="Arial" w:cs="Arial"/>
      <w:b/>
      <w:bCs/>
      <w:sz w:val="22"/>
      <w:szCs w:val="22"/>
    </w:rPr>
  </w:style>
  <w:style w:type="paragraph" w:styleId="982">
    <w:name w:val="Body Text Indent 3"/>
    <w:basedOn w:val="746"/>
    <w:pPr>
      <w:ind w:left="5760"/>
    </w:pPr>
  </w:style>
  <w:style w:type="paragraph" w:styleId="983" w:customStyle="1">
    <w:name w:val="Знак Знак Знак Знак Знак Знак Знак Знак Знак Знак Знак 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4" w:customStyle="1">
    <w:name w:val="Знак1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5" w:customStyle="1">
    <w:name w:val="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6">
    <w:name w:val="Note Heading"/>
    <w:basedOn w:val="746"/>
    <w:next w:val="746"/>
    <w:pPr>
      <w:jc w:val="both"/>
    </w:pPr>
    <w:rPr>
      <w:szCs w:val="20"/>
    </w:rPr>
  </w:style>
  <w:style w:type="paragraph" w:styleId="987" w:customStyle="1">
    <w:name w:val="Знак1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988" w:customStyle="1">
    <w:name w:val="Основной текст Знак"/>
    <w:link w:val="961"/>
    <w:rPr>
      <w:sz w:val="24"/>
      <w:szCs w:val="24"/>
      <w:lang w:val="ru-RU" w:eastAsia="ru-RU" w:bidi="ar-SA"/>
    </w:rPr>
  </w:style>
  <w:style w:type="paragraph" w:styleId="989">
    <w:name w:val="Balloon Text"/>
    <w:basedOn w:val="746"/>
    <w:link w:val="990"/>
    <w:rPr>
      <w:rFonts w:ascii="Tahoma" w:hAnsi="Tahoma" w:cs="Tahoma"/>
      <w:sz w:val="16"/>
      <w:szCs w:val="16"/>
    </w:rPr>
  </w:style>
  <w:style w:type="character" w:styleId="990" w:customStyle="1">
    <w:name w:val="Текст выноски Знак"/>
    <w:link w:val="989"/>
    <w:rPr>
      <w:rFonts w:ascii="Tahoma" w:hAnsi="Tahoma" w:cs="Tahoma"/>
      <w:sz w:val="16"/>
      <w:szCs w:val="16"/>
      <w:lang w:val="ru-RU" w:eastAsia="ru-RU" w:bidi="ar-SA"/>
    </w:rPr>
  </w:style>
  <w:style w:type="paragraph" w:styleId="991" w:customStyle="1">
    <w:name w:val="Знак Знак Знак Знак Знак Знак Знак Знак Знак 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992" w:customStyle="1">
    <w:name w:val="Нижний колонтитул Знак"/>
    <w:link w:val="813"/>
    <w:rPr>
      <w:sz w:val="24"/>
      <w:szCs w:val="24"/>
      <w:lang w:val="ru-RU" w:eastAsia="ru-RU" w:bidi="ar-SA"/>
    </w:rPr>
  </w:style>
  <w:style w:type="character" w:styleId="993" w:customStyle="1">
    <w:name w:val="Гиперссылка1"/>
    <w:rPr>
      <w:color w:val="0000ff"/>
      <w:u w:val="single"/>
    </w:rPr>
  </w:style>
  <w:style w:type="paragraph" w:styleId="994" w:customStyle="1">
    <w:name w:val="Обычный (веб)1"/>
    <w:pPr>
      <w:spacing w:after="2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95" w:customStyle="1">
    <w:name w:val="Основной текст1"/>
    <w:link w:val="875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szCs w:val="24"/>
      <w:lang w:bidi="ru-RU"/>
    </w:rPr>
  </w:style>
  <w:style w:type="paragraph" w:styleId="996" w:customStyle="1">
    <w:name w:val="docdata"/>
    <w:basedOn w:val="746"/>
    <w:pPr>
      <w:spacing w:before="100" w:beforeAutospacing="1" w:after="100" w:afterAutospacing="1"/>
    </w:pPr>
  </w:style>
  <w:style w:type="paragraph" w:styleId="997" w:customStyle="1">
    <w:name w:val="Основной текст2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4"/>
    </w:rPr>
  </w:style>
  <w:style w:type="paragraph" w:styleId="998" w:customStyle="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99" w:customStyle="1">
    <w:name w:val="s_16"/>
    <w:basedOn w:val="746"/>
    <w:pPr>
      <w:spacing w:before="100" w:beforeAutospacing="1" w:after="100" w:afterAutospacing="1"/>
    </w:pPr>
  </w:style>
  <w:style w:type="paragraph" w:styleId="1000" w:customStyle="1">
    <w:name w:val="s_1"/>
    <w:basedOn w:val="746"/>
    <w:pPr>
      <w:spacing w:before="100" w:beforeAutospacing="1" w:after="100" w:afterAutospacing="1"/>
    </w:pPr>
  </w:style>
  <w:style w:type="paragraph" w:styleId="1001" w:customStyle="1">
    <w:name w:val="Знак"/>
    <w:basedOn w:val="7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02">
    <w:name w:val="Body Text 2"/>
    <w:basedOn w:val="746"/>
    <w:link w:val="1003"/>
    <w:pPr>
      <w:spacing w:after="120" w:line="480" w:lineRule="auto"/>
    </w:pPr>
  </w:style>
  <w:style w:type="character" w:styleId="1003" w:customStyle="1">
    <w:name w:val="Основной текст 2 Знак"/>
    <w:basedOn w:val="756"/>
    <w:link w:val="1002"/>
    <w:rPr>
      <w:sz w:val="24"/>
      <w:szCs w:val="24"/>
    </w:rPr>
  </w:style>
  <w:style w:type="character" w:styleId="1004" w:customStyle="1">
    <w:name w:val="Неразрешенное упоминание1"/>
    <w:basedOn w:val="756"/>
    <w:uiPriority w:val="99"/>
    <w:semiHidden/>
    <w:unhideWhenUsed/>
    <w:rPr>
      <w:color w:val="605e5c"/>
      <w:shd w:val="clear" w:color="auto" w:fill="e1dfdd"/>
    </w:rPr>
  </w:style>
  <w:style w:type="character" w:styleId="1005">
    <w:name w:val="annotation reference"/>
    <w:basedOn w:val="756"/>
    <w:uiPriority w:val="99"/>
    <w:semiHidden/>
    <w:unhideWhenUsed/>
    <w:rPr>
      <w:sz w:val="16"/>
      <w:szCs w:val="16"/>
    </w:rPr>
  </w:style>
  <w:style w:type="paragraph" w:styleId="1006">
    <w:name w:val="annotation text"/>
    <w:basedOn w:val="746"/>
    <w:link w:val="1007"/>
    <w:uiPriority w:val="99"/>
    <w:semiHidden/>
    <w:unhideWhenUsed/>
    <w:rPr>
      <w:sz w:val="20"/>
      <w:szCs w:val="20"/>
    </w:rPr>
  </w:style>
  <w:style w:type="character" w:styleId="1007" w:customStyle="1">
    <w:name w:val="Текст примечания Знак"/>
    <w:basedOn w:val="756"/>
    <w:link w:val="1006"/>
    <w:uiPriority w:val="99"/>
    <w:semiHidden/>
  </w:style>
  <w:style w:type="paragraph" w:styleId="1008">
    <w:name w:val="annotation subject"/>
    <w:basedOn w:val="1006"/>
    <w:next w:val="1006"/>
    <w:link w:val="1009"/>
    <w:uiPriority w:val="99"/>
    <w:semiHidden/>
    <w:unhideWhenUsed/>
    <w:rPr>
      <w:b/>
      <w:bCs/>
    </w:rPr>
  </w:style>
  <w:style w:type="character" w:styleId="1009" w:customStyle="1">
    <w:name w:val="Тема примечания Знак"/>
    <w:basedOn w:val="1007"/>
    <w:link w:val="1008"/>
    <w:uiPriority w:val="99"/>
    <w:semiHidden/>
    <w:rPr>
      <w:b/>
      <w:bCs/>
    </w:rPr>
  </w:style>
  <w:style w:type="character" w:styleId="1010" w:customStyle="1">
    <w:name w:val="Основной текст (2) + Полужирный;Интервал 3 pt"/>
    <w:rPr>
      <w:rFonts w:ascii="Times New Roman" w:hAnsi="Times New Roman" w:eastAsia="Times New Roman" w:cs="Times New Roman"/>
      <w:b/>
      <w:bCs/>
      <w:color w:val="000000"/>
      <w:spacing w:val="70"/>
      <w:position w:val="0"/>
      <w:sz w:val="26"/>
      <w:szCs w:val="26"/>
      <w:shd w:val="clear" w:color="auto" w:fill="ffffff"/>
      <w:lang w:val="ru-RU" w:eastAsia="ru-RU" w:bidi="ru-RU"/>
    </w:rPr>
  </w:style>
  <w:style w:type="character" w:styleId="1011" w:customStyle="1">
    <w:name w:val="Основной текст (2) + 12 pt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styleId="1012" w:customStyle="1">
    <w:name w:val="Основной текст (5)"/>
    <w:pPr>
      <w:contextualSpacing w:val="0"/>
      <w:ind w:left="0" w:right="0" w:firstLine="0"/>
      <w:jc w:val="center"/>
      <w:keepLines w:val="0"/>
      <w:keepNext w:val="0"/>
      <w:pageBreakBefore w:val="0"/>
      <w:spacing w:before="240" w:beforeAutospacing="0" w:after="240" w:afterAutospacing="0" w:line="30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013" w:customStyle="1">
    <w:name w:val="Основной текст (2)"/>
    <w:pPr>
      <w:contextualSpacing w:val="0"/>
      <w:ind w:left="0" w:right="0" w:firstLine="740"/>
      <w:jc w:val="both"/>
      <w:keepLines w:val="0"/>
      <w:keepNext w:val="0"/>
      <w:pageBreakBefore w:val="0"/>
      <w:spacing w:before="540" w:beforeAutospacing="0" w:after="0" w:afterAutospacing="0" w:line="30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014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15" w:customStyle="1">
    <w:name w:val="Основной текст (2) + 11;5 pt;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1016" w:customStyle="1">
    <w:name w:val="Заголовок №1"/>
    <w:pPr>
      <w:contextualSpacing w:val="0"/>
      <w:ind w:left="0" w:right="0" w:hanging="820"/>
      <w:jc w:val="left"/>
      <w:keepLines w:val="0"/>
      <w:keepNext w:val="0"/>
      <w:pageBreakBefore w:val="0"/>
      <w:spacing w:before="300" w:beforeAutospacing="0" w:after="30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17" w:customStyle="1">
    <w:name w:val="Основной текст (2)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828A-D551-4224-8A3F-1932E5CF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Роспотребнадзор в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Е.В.</dc:creator>
  <cp:revision>8</cp:revision>
  <dcterms:created xsi:type="dcterms:W3CDTF">2024-08-14T05:04:00Z</dcterms:created>
  <dcterms:modified xsi:type="dcterms:W3CDTF">2025-03-21T03:18:39Z</dcterms:modified>
  <cp:version>730895</cp:version>
</cp:coreProperties>
</file>