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3.xml" ContentType="application/vnd.openxmlformats-officedocument.wordprocessingml.foot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tbl>
      <w:tblPr>
        <w:tblW w:w="0" w:type="auto"/>
        <w:tblLook w:val="01E0" w:firstRow="1" w:lastRow="1" w:firstColumn="1" w:lastColumn="1" w:noHBand="0" w:noVBand="0"/>
      </w:tblPr>
      <w:tblGrid>
        <w:gridCol w:w="2018"/>
        <w:gridCol w:w="2018"/>
        <w:gridCol w:w="2025"/>
        <w:gridCol w:w="1573"/>
        <w:gridCol w:w="484"/>
        <w:gridCol w:w="2019"/>
      </w:tblGrid>
      <w:tr>
        <w:tblPrEx/>
        <w:trPr>
          <w:trHeight w:val="1075"/>
        </w:trPr>
        <w:tc>
          <w:tcPr>
            <w:gridSpan w:val="6"/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10137" w:type="dxa"/>
            <w:textDirection w:val="lrTb"/>
            <w:noWrap w:val="false"/>
          </w:tcPr>
          <w:p>
            <w:pPr>
              <w:pStyle w:val="1038"/>
              <w:jc w:val="center"/>
              <w:spacing w:before="0" w:after="0"/>
              <w:rPr>
                <w:sz w:val="2"/>
                <w:szCs w:val="2"/>
              </w:rPr>
            </w:pP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543560" cy="655320"/>
                      <wp:effectExtent l="0" t="0" r="0" b="0"/>
                      <wp:docPr id="1" name="Рисунок 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362052297" name="Picture 1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6"/>
                              <a:stretch/>
                            </pic:blipFill>
                            <pic:spPr bwMode="auto">
                              <a:xfrm>
                                <a:off x="0" y="0"/>
                                <a:ext cx="543559" cy="655319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0" o:spid="_x0000_s0" type="#_x0000_t75" style="width:42.80pt;height:51.60pt;mso-wrap-distance-left:0.00pt;mso-wrap-distance-top:0.00pt;mso-wrap-distance-right:0.00pt;mso-wrap-distance-bottom:0.00pt;" stroked="f">
                      <v:path textboxrect="0,0,0,0"/>
                      <v:imagedata r:id="rId16" o:title=""/>
                    </v:shape>
                  </w:pict>
                </mc:Fallback>
              </mc:AlternateContent>
            </w:r>
            <w:r>
              <w:rPr>
                <w:sz w:val="2"/>
                <w:szCs w:val="2"/>
              </w:rPr>
            </w:r>
            <w:r>
              <w:rPr>
                <w:sz w:val="2"/>
                <w:szCs w:val="2"/>
              </w:rPr>
            </w:r>
          </w:p>
        </w:tc>
      </w:tr>
      <w:tr>
        <w:tblPrEx/>
        <w:trPr/>
        <w:tc>
          <w:tcPr>
            <w:gridSpan w:val="6"/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10137" w:type="dxa"/>
            <w:textDirection w:val="lrTb"/>
            <w:noWrap w:val="false"/>
          </w:tcPr>
          <w:p>
            <w:pPr>
              <w:pStyle w:val="1038"/>
              <w:jc w:val="both"/>
              <w:spacing w:before="0" w:after="0"/>
              <w:rPr>
                <w:szCs w:val="24"/>
              </w:rPr>
            </w:pPr>
            <w:r>
              <w:rPr>
                <w:szCs w:val="24"/>
              </w:rPr>
            </w:r>
            <w:r>
              <w:rPr>
                <w:szCs w:val="24"/>
              </w:rPr>
            </w:r>
            <w:r>
              <w:rPr>
                <w:szCs w:val="24"/>
              </w:rPr>
            </w:r>
          </w:p>
        </w:tc>
      </w:tr>
      <w:tr>
        <w:tblPrEx/>
        <w:trPr/>
        <w:tc>
          <w:tcPr>
            <w:gridSpan w:val="6"/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10137" w:type="dxa"/>
            <w:textDirection w:val="lrTb"/>
            <w:noWrap w:val="false"/>
          </w:tcPr>
          <w:p>
            <w:pPr>
              <w:pStyle w:val="1038"/>
              <w:jc w:val="center"/>
              <w:spacing w:before="0" w:after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МИНИСТЕРСТВО ЗДРАВООХРАНЕНИЯ НОВОСИБИРСКОЙ ОБЛАСТИ</w:t>
            </w:r>
            <w:r>
              <w:rPr>
                <w:b/>
                <w:sz w:val="28"/>
                <w:szCs w:val="28"/>
              </w:rPr>
            </w:r>
            <w:r>
              <w:rPr>
                <w:b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2018" w:type="dxa"/>
            <w:textDirection w:val="lrTb"/>
            <w:noWrap w:val="false"/>
          </w:tcPr>
          <w:p>
            <w:pPr>
              <w:pStyle w:val="1038"/>
              <w:jc w:val="both"/>
              <w:spacing w:before="0" w:after="0"/>
              <w:rPr>
                <w:szCs w:val="24"/>
              </w:rPr>
            </w:pPr>
            <w:r>
              <w:rPr>
                <w:szCs w:val="24"/>
              </w:rPr>
            </w:r>
            <w:r>
              <w:rPr>
                <w:szCs w:val="24"/>
              </w:rPr>
            </w:r>
            <w:r>
              <w:rPr>
                <w:szCs w:val="24"/>
              </w:rPr>
            </w:r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2018" w:type="dxa"/>
            <w:textDirection w:val="lrTb"/>
            <w:noWrap w:val="false"/>
          </w:tcPr>
          <w:p>
            <w:pPr>
              <w:pStyle w:val="1038"/>
              <w:jc w:val="both"/>
              <w:spacing w:before="0" w:after="0"/>
              <w:rPr>
                <w:szCs w:val="24"/>
              </w:rPr>
            </w:pPr>
            <w:r>
              <w:rPr>
                <w:szCs w:val="24"/>
              </w:rPr>
            </w:r>
            <w:r>
              <w:rPr>
                <w:szCs w:val="24"/>
              </w:rPr>
            </w:r>
            <w:r>
              <w:rPr>
                <w:szCs w:val="24"/>
              </w:rPr>
            </w:r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2025" w:type="dxa"/>
            <w:textDirection w:val="lrTb"/>
            <w:noWrap w:val="false"/>
          </w:tcPr>
          <w:p>
            <w:pPr>
              <w:pStyle w:val="1038"/>
              <w:jc w:val="both"/>
              <w:spacing w:before="0" w:after="0"/>
              <w:rPr>
                <w:szCs w:val="24"/>
              </w:rPr>
            </w:pPr>
            <w:r>
              <w:rPr>
                <w:szCs w:val="24"/>
              </w:rPr>
            </w:r>
            <w:r>
              <w:rPr>
                <w:szCs w:val="24"/>
              </w:rPr>
            </w:r>
            <w:r>
              <w:rPr>
                <w:szCs w:val="24"/>
              </w:rPr>
            </w:r>
          </w:p>
        </w:tc>
        <w:tc>
          <w:tcPr>
            <w:gridSpan w:val="2"/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2057" w:type="dxa"/>
            <w:textDirection w:val="lrTb"/>
            <w:noWrap w:val="false"/>
          </w:tcPr>
          <w:p>
            <w:pPr>
              <w:pStyle w:val="1038"/>
              <w:jc w:val="both"/>
              <w:spacing w:before="0" w:after="0"/>
              <w:rPr>
                <w:szCs w:val="24"/>
              </w:rPr>
            </w:pPr>
            <w:r>
              <w:rPr>
                <w:szCs w:val="24"/>
              </w:rPr>
            </w:r>
            <w:r>
              <w:rPr>
                <w:szCs w:val="24"/>
              </w:rPr>
            </w:r>
            <w:r>
              <w:rPr>
                <w:szCs w:val="24"/>
              </w:rPr>
            </w:r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2019" w:type="dxa"/>
            <w:textDirection w:val="lrTb"/>
            <w:noWrap w:val="false"/>
          </w:tcPr>
          <w:p>
            <w:pPr>
              <w:pStyle w:val="1038"/>
              <w:jc w:val="both"/>
              <w:spacing w:before="0" w:after="0"/>
              <w:rPr>
                <w:szCs w:val="24"/>
              </w:rPr>
            </w:pPr>
            <w:r>
              <w:rPr>
                <w:szCs w:val="24"/>
              </w:rPr>
            </w:r>
            <w:r>
              <w:rPr>
                <w:szCs w:val="24"/>
              </w:rPr>
            </w:r>
            <w:r>
              <w:rPr>
                <w:szCs w:val="24"/>
              </w:rPr>
            </w:r>
          </w:p>
        </w:tc>
      </w:tr>
      <w:tr>
        <w:tblPrEx/>
        <w:trPr/>
        <w:tc>
          <w:tcPr>
            <w:gridSpan w:val="6"/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10137" w:type="dxa"/>
            <w:textDirection w:val="lrTb"/>
            <w:noWrap w:val="false"/>
          </w:tcPr>
          <w:p>
            <w:pPr>
              <w:pStyle w:val="832"/>
              <w:jc w:val="center"/>
              <w:spacing w:before="0"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ПРИКАЗ</w:t>
            </w:r>
            <w:r>
              <w:rPr>
                <w:b/>
                <w:bCs/>
                <w:sz w:val="28"/>
                <w:szCs w:val="28"/>
              </w:rPr>
            </w:r>
            <w:r>
              <w:rPr>
                <w:b/>
                <w:bCs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bottom w:val="single" w:color="000000" w:sz="4" w:space="0"/>
            </w:tcBorders>
            <w:tcW w:w="2018" w:type="dxa"/>
            <w:textDirection w:val="lrTb"/>
            <w:noWrap w:val="false"/>
          </w:tcPr>
          <w:p>
            <w:pPr>
              <w:pStyle w:val="1038"/>
              <w:jc w:val="both"/>
              <w:spacing w:before="0"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2018" w:type="dxa"/>
            <w:textDirection w:val="lrTb"/>
            <w:noWrap w:val="false"/>
          </w:tcPr>
          <w:p>
            <w:pPr>
              <w:pStyle w:val="1038"/>
              <w:jc w:val="both"/>
              <w:spacing w:before="0"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2025" w:type="dxa"/>
            <w:textDirection w:val="lrTb"/>
            <w:noWrap w:val="false"/>
          </w:tcPr>
          <w:p>
            <w:pPr>
              <w:pStyle w:val="1038"/>
              <w:jc w:val="both"/>
              <w:spacing w:before="0"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1573" w:type="dxa"/>
            <w:textDirection w:val="lrTb"/>
            <w:noWrap w:val="false"/>
          </w:tcPr>
          <w:p>
            <w:pPr>
              <w:pStyle w:val="1038"/>
              <w:jc w:val="both"/>
              <w:spacing w:before="0"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484" w:type="dxa"/>
            <w:textDirection w:val="lrTb"/>
            <w:noWrap w:val="false"/>
          </w:tcPr>
          <w:p>
            <w:pPr>
              <w:pStyle w:val="1038"/>
              <w:jc w:val="both"/>
              <w:spacing w:before="0"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bottom w:val="single" w:color="000000" w:sz="4" w:space="0"/>
            </w:tcBorders>
            <w:tcW w:w="2019" w:type="dxa"/>
            <w:textDirection w:val="lrTb"/>
            <w:noWrap w:val="false"/>
          </w:tcPr>
          <w:p>
            <w:pPr>
              <w:pStyle w:val="1038"/>
              <w:jc w:val="center"/>
              <w:spacing w:before="0"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</w:tcBorders>
            <w:tcW w:w="2018" w:type="dxa"/>
            <w:textDirection w:val="lrTb"/>
            <w:noWrap w:val="false"/>
          </w:tcPr>
          <w:p>
            <w:pPr>
              <w:pStyle w:val="1038"/>
              <w:jc w:val="both"/>
              <w:spacing w:before="0" w:after="0"/>
              <w:rPr>
                <w:szCs w:val="24"/>
              </w:rPr>
            </w:pPr>
            <w:r>
              <w:rPr>
                <w:szCs w:val="24"/>
              </w:rPr>
            </w:r>
            <w:r>
              <w:rPr>
                <w:szCs w:val="24"/>
              </w:rPr>
            </w:r>
            <w:r>
              <w:rPr>
                <w:szCs w:val="24"/>
              </w:rPr>
            </w:r>
          </w:p>
        </w:tc>
        <w:tc>
          <w:tcPr>
            <w:tcW w:w="2018" w:type="dxa"/>
            <w:textDirection w:val="lrTb"/>
            <w:noWrap w:val="false"/>
          </w:tcPr>
          <w:p>
            <w:pPr>
              <w:pStyle w:val="1038"/>
              <w:jc w:val="both"/>
              <w:spacing w:before="0" w:after="0"/>
              <w:rPr>
                <w:szCs w:val="24"/>
              </w:rPr>
            </w:pPr>
            <w:r>
              <w:rPr>
                <w:szCs w:val="24"/>
              </w:rPr>
            </w:r>
            <w:r>
              <w:rPr>
                <w:szCs w:val="24"/>
              </w:rPr>
            </w:r>
            <w:r>
              <w:rPr>
                <w:szCs w:val="24"/>
              </w:rPr>
            </w:r>
          </w:p>
        </w:tc>
        <w:tc>
          <w:tcPr>
            <w:tcW w:w="2025" w:type="dxa"/>
            <w:textDirection w:val="lrTb"/>
            <w:noWrap w:val="false"/>
          </w:tcPr>
          <w:p>
            <w:pPr>
              <w:pStyle w:val="1038"/>
              <w:jc w:val="center"/>
              <w:spacing w:before="0" w:after="0"/>
              <w:rPr>
                <w:szCs w:val="24"/>
              </w:rPr>
            </w:pPr>
            <w:r>
              <w:rPr>
                <w:szCs w:val="24"/>
              </w:rPr>
              <w:t xml:space="preserve">г. Новосибирск</w:t>
            </w:r>
            <w:r>
              <w:rPr>
                <w:szCs w:val="24"/>
              </w:rPr>
            </w:r>
            <w:r>
              <w:rPr>
                <w:szCs w:val="24"/>
              </w:rPr>
            </w:r>
          </w:p>
        </w:tc>
        <w:tc>
          <w:tcPr>
            <w:gridSpan w:val="2"/>
            <w:tcW w:w="2057" w:type="dxa"/>
            <w:textDirection w:val="lrTb"/>
            <w:noWrap w:val="false"/>
          </w:tcPr>
          <w:p>
            <w:pPr>
              <w:pStyle w:val="1038"/>
              <w:jc w:val="both"/>
              <w:spacing w:before="0" w:after="0"/>
              <w:rPr>
                <w:szCs w:val="24"/>
              </w:rPr>
            </w:pPr>
            <w:r>
              <w:rPr>
                <w:szCs w:val="24"/>
              </w:rPr>
            </w:r>
            <w:r>
              <w:rPr>
                <w:szCs w:val="24"/>
              </w:rPr>
            </w:r>
            <w:r>
              <w:rPr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2019" w:type="dxa"/>
            <w:textDirection w:val="lrTb"/>
            <w:noWrap w:val="false"/>
          </w:tcPr>
          <w:p>
            <w:pPr>
              <w:pStyle w:val="1038"/>
              <w:jc w:val="both"/>
              <w:spacing w:before="0" w:after="0"/>
              <w:rPr>
                <w:szCs w:val="24"/>
              </w:rPr>
            </w:pPr>
            <w:r>
              <w:rPr>
                <w:szCs w:val="24"/>
              </w:rPr>
            </w:r>
            <w:r>
              <w:rPr>
                <w:szCs w:val="24"/>
              </w:rPr>
            </w:r>
            <w:r>
              <w:rPr>
                <w:szCs w:val="24"/>
              </w:rPr>
            </w:r>
          </w:p>
        </w:tc>
      </w:tr>
    </w:tbl>
    <w:p>
      <w:pPr>
        <w:jc w:val="center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Об организации проведения медицинских освидетельствований 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иностранных граждан и лиц без гражданства в Новосибирской об</w:t>
      </w:r>
      <w:r>
        <w:rPr>
          <w:b/>
          <w:bCs/>
          <w:sz w:val="28"/>
        </w:rPr>
        <w:t xml:space="preserve">ласти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1024"/>
        <w:ind w:firstLine="709"/>
        <w:jc w:val="both"/>
        <w:rPr>
          <w:b w:val="0"/>
          <w:bCs w:val="0"/>
          <w:color w:val="000000" w:themeColor="text1"/>
          <w:szCs w:val="28"/>
          <w:highlight w:val="white"/>
        </w:rPr>
      </w:pPr>
      <w:r>
        <w:rPr>
          <w:b w:val="0"/>
          <w:bCs w:val="0"/>
          <w:szCs w:val="28"/>
        </w:rPr>
        <w:t xml:space="preserve">В целях реализации Федерального закона от 25.07.2002 № 115-ФЗ «О правовом положении иностранных граждан в Российской Федера</w:t>
      </w:r>
      <w:r>
        <w:rPr>
          <w:b w:val="0"/>
          <w:bCs w:val="0"/>
          <w:szCs w:val="28"/>
        </w:rPr>
        <w:t xml:space="preserve">ции», в соответствии с пунктом 5.1 части 1 статьи 16 Федерального закона от 21.11.2011 № 323-ФЗ «Об основах охраны здоровья граждан в Российской Федерации», приказом Министерства здравоохранения Российской Федерации от 19.11.2021 № 1079н «Об утверждении По</w:t>
      </w:r>
      <w:r>
        <w:rPr>
          <w:b w:val="0"/>
          <w:bCs w:val="0"/>
          <w:szCs w:val="28"/>
        </w:rPr>
        <w:t xml:space="preserve">рядка проведения медицинского освидетельствования, включая проведение химико-токсикологических исследований наличия в организме иностранного гражданина или лица без гражданства наркотических средств или психотропных веществ либо новых потенциально опасных </w:t>
      </w:r>
      <w:r>
        <w:rPr>
          <w:b w:val="0"/>
          <w:bCs w:val="0"/>
          <w:szCs w:val="28"/>
        </w:rPr>
        <w:t xml:space="preserve">психоактивных</w:t>
      </w:r>
      <w:r>
        <w:rPr>
          <w:b w:val="0"/>
          <w:bCs w:val="0"/>
          <w:szCs w:val="28"/>
        </w:rPr>
        <w:t xml:space="preserve"> веществ и их метаболитов, на наличие или отсутствие у иностранного гражданина или лица без гражданства инфекционных заболеваний, представляющих опасность для окружающих, и забо</w:t>
      </w:r>
      <w:r>
        <w:rPr>
          <w:b w:val="0"/>
          <w:bCs w:val="0"/>
          <w:szCs w:val="28"/>
        </w:rPr>
        <w:t xml:space="preserve">левания, вызываемого вирусом иммунодефицита человека (ВИЧ-инфекции), формы бланка и срока действия медицинского заключения об отсутствии факта употребления наркотических средств или психотропных веществ без назначения врача либо новых потенциально опасных </w:t>
      </w:r>
      <w:r>
        <w:rPr>
          <w:b w:val="0"/>
          <w:bCs w:val="0"/>
          <w:szCs w:val="28"/>
        </w:rPr>
        <w:t xml:space="preserve">психоактивных</w:t>
      </w:r>
      <w:r>
        <w:rPr>
          <w:b w:val="0"/>
          <w:bCs w:val="0"/>
          <w:szCs w:val="28"/>
        </w:rPr>
        <w:t xml:space="preserve"> веществ, а также формы</w:t>
      </w:r>
      <w:r>
        <w:rPr>
          <w:b w:val="0"/>
          <w:bCs w:val="0"/>
          <w:szCs w:val="28"/>
        </w:rPr>
        <w:t xml:space="preserve">, описания бланка и срока действия медицинского заключения о наличии (отсутствии) инфекционных заболеваний, представляющих опасность для окружающих» (далее – Порядок), постановлением Правительства Новосибирской области от 05.02.2015 № 47-п «Об организации </w:t>
      </w:r>
      <w:r>
        <w:rPr>
          <w:b w:val="0"/>
          <w:bCs w:val="0"/>
          <w:color w:val="000000" w:themeColor="text1"/>
          <w:szCs w:val="28"/>
          <w:highlight w:val="white"/>
        </w:rPr>
        <w:t xml:space="preserve">проведения медицинских освидетельствований иностранных граждан и лиц без гражданства» </w:t>
      </w:r>
      <w:r>
        <w:rPr>
          <w:szCs w:val="28"/>
        </w:rPr>
        <w:t xml:space="preserve">п р и к а з ы в а ю:</w:t>
      </w:r>
      <w:r>
        <w:rPr>
          <w:b w:val="0"/>
          <w:bCs w:val="0"/>
          <w:color w:val="000000" w:themeColor="text1"/>
          <w:szCs w:val="28"/>
          <w:highlight w:val="white"/>
        </w:rPr>
      </w:r>
      <w:r>
        <w:rPr>
          <w:b w:val="0"/>
          <w:bCs w:val="0"/>
          <w:color w:val="000000" w:themeColor="text1"/>
          <w:szCs w:val="28"/>
          <w:highlight w:val="white"/>
        </w:rPr>
      </w:r>
    </w:p>
    <w:p>
      <w:pPr>
        <w:pStyle w:val="1024"/>
        <w:ind w:firstLine="720"/>
        <w:jc w:val="both"/>
        <w:rPr>
          <w:b w:val="0"/>
          <w:szCs w:val="28"/>
        </w:rPr>
      </w:pPr>
      <w:r>
        <w:rPr>
          <w:b w:val="0"/>
          <w:szCs w:val="28"/>
        </w:rPr>
        <w:t xml:space="preserve">1. Утвердить</w:t>
      </w:r>
      <w:r>
        <w:rPr>
          <w:b w:val="0"/>
          <w:szCs w:val="28"/>
        </w:rPr>
        <w:t xml:space="preserve"> </w:t>
      </w:r>
      <w:r>
        <w:rPr>
          <w:b w:val="0"/>
          <w:szCs w:val="28"/>
        </w:rPr>
        <w:t xml:space="preserve">прилагаемые</w:t>
      </w:r>
      <w:r>
        <w:rPr>
          <w:b w:val="0"/>
          <w:szCs w:val="28"/>
        </w:rPr>
        <w:t xml:space="preserve">:</w:t>
      </w:r>
      <w:r>
        <w:rPr>
          <w:b w:val="0"/>
          <w:szCs w:val="28"/>
        </w:rPr>
      </w:r>
      <w:r>
        <w:rPr>
          <w:b w:val="0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 форму журнала регистрации медицинского обследования иностранных граждан и лиц без гражданства согласно приложению № 1;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24"/>
        <w:ind w:firstLine="709"/>
        <w:jc w:val="both"/>
        <w:rPr>
          <w:b w:val="0"/>
          <w:bCs w:val="0"/>
          <w:szCs w:val="28"/>
        </w:rPr>
        <w:pBdr>
          <w:right w:val="none" w:color="000000" w:sz="4" w:space="2"/>
        </w:pBdr>
      </w:pPr>
      <w:r>
        <w:rPr>
          <w:b w:val="0"/>
          <w:bCs w:val="0"/>
          <w:szCs w:val="28"/>
        </w:rPr>
        <w:t xml:space="preserve">2) форму Сигнального извещения согласно приложению № 2;</w:t>
      </w:r>
      <w:r>
        <w:rPr>
          <w:b w:val="0"/>
          <w:bCs w:val="0"/>
          <w:szCs w:val="28"/>
        </w:rPr>
      </w:r>
      <w:r>
        <w:rPr>
          <w:b w:val="0"/>
          <w:bCs w:val="0"/>
          <w:szCs w:val="28"/>
        </w:rPr>
      </w:r>
    </w:p>
    <w:p>
      <w:pPr>
        <w:pStyle w:val="1037"/>
        <w:ind w:firstLine="720"/>
        <w:jc w:val="both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>
        <w:rPr>
          <w:rFonts w:ascii="Times New Roman" w:hAnsi="Times New Roman" w:eastAsia="Times New Roman" w:cs="Times New Roman"/>
          <w:b w:val="0"/>
          <w:sz w:val="28"/>
          <w:szCs w:val="28"/>
        </w:rPr>
        <w:t xml:space="preserve">3)</w:t>
      </w:r>
      <w:r>
        <w:rPr>
          <w:rFonts w:ascii="Times New Roman" w:hAnsi="Times New Roman" w:eastAsia="Times New Roman" w:cs="Times New Roman"/>
          <w:b w:val="0"/>
          <w:sz w:val="28"/>
          <w:szCs w:val="28"/>
          <w:lang w:val="en-US"/>
        </w:rPr>
        <w:t xml:space="preserve"> 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перечень </w:t>
      </w:r>
      <w:r>
        <w:rPr>
          <w:rFonts w:ascii="Times New Roman" w:hAnsi="Times New Roman" w:eastAsia="Times New Roman" w:cs="Times New Roman"/>
          <w:b w:val="0"/>
          <w:sz w:val="28"/>
          <w:szCs w:val="28"/>
        </w:rPr>
        <w:t xml:space="preserve">медицинских организаций, уполномоченных на проведение медицинского освидетельствования</w:t>
      </w:r>
      <w:r>
        <w:rPr>
          <w:rFonts w:ascii="Times New Roman" w:hAnsi="Times New Roman" w:eastAsia="Times New Roman" w:cs="Times New Roman"/>
          <w:b w:val="0"/>
          <w:sz w:val="28"/>
          <w:szCs w:val="28"/>
          <w:highlight w:val="white"/>
        </w:rPr>
        <w:t xml:space="preserve"> на территории Но</w:t>
      </w:r>
      <w:r>
        <w:rPr>
          <w:rFonts w:ascii="Times New Roman" w:hAnsi="Times New Roman" w:eastAsia="Times New Roman" w:cs="Times New Roman"/>
          <w:b w:val="0"/>
          <w:sz w:val="28"/>
          <w:szCs w:val="28"/>
        </w:rPr>
        <w:t xml:space="preserve">восибирской области иностранных граждан или лиц без гражданства,</w:t>
      </w:r>
      <w:r>
        <w:rPr>
          <w:rFonts w:ascii="Times New Roman" w:hAnsi="Times New Roman" w:eastAsia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b w:val="0"/>
          <w:sz w:val="28"/>
          <w:szCs w:val="28"/>
        </w:rPr>
        <w:t xml:space="preserve">прибывших в Российскую Федерацию в целях, не связанных с осуществлением трудовой деятельности, на срок, превышающий девяносто календарных дней, на наличие или отсутствие факта </w:t>
      </w:r>
      <w:r>
        <w:rPr>
          <w:rFonts w:ascii="Times New Roman" w:hAnsi="Times New Roman" w:eastAsia="Times New Roman" w:cs="Times New Roman"/>
          <w:b w:val="0"/>
          <w:sz w:val="28"/>
          <w:szCs w:val="28"/>
        </w:rPr>
        <w:t xml:space="preserve">употребления ими наркотических средств или психотропных веществ без назначения врача либо новых потенциально опасных </w:t>
      </w:r>
      <w:r>
        <w:rPr>
          <w:rFonts w:ascii="Times New Roman" w:hAnsi="Times New Roman" w:eastAsia="Times New Roman" w:cs="Times New Roman"/>
          <w:b w:val="0"/>
          <w:sz w:val="28"/>
          <w:szCs w:val="28"/>
        </w:rPr>
        <w:t xml:space="preserve">психоактивных</w:t>
      </w:r>
      <w:r>
        <w:rPr>
          <w:rFonts w:ascii="Times New Roman" w:hAnsi="Times New Roman" w:eastAsia="Times New Roman" w:cs="Times New Roman"/>
          <w:b w:val="0"/>
          <w:sz w:val="28"/>
          <w:szCs w:val="28"/>
        </w:rPr>
        <w:t xml:space="preserve"> веществ, инфекционных заболеваний, </w:t>
      </w:r>
      <w:r>
        <w:rPr>
          <w:rFonts w:ascii="Times New Roman" w:hAnsi="Times New Roman" w:eastAsia="Times New Roman" w:cs="Times New Roman"/>
          <w:b w:val="0"/>
          <w:sz w:val="28"/>
          <w:szCs w:val="28"/>
          <w:highlight w:val="white"/>
        </w:rPr>
        <w:t xml:space="preserve">представляющих опасность для окружающих, предусмотренных перечнем, прилагаемым к По</w:t>
      </w:r>
      <w:r>
        <w:rPr>
          <w:rFonts w:ascii="Times New Roman" w:hAnsi="Times New Roman" w:eastAsia="Times New Roman" w:cs="Times New Roman"/>
          <w:b w:val="0"/>
          <w:sz w:val="28"/>
          <w:szCs w:val="28"/>
          <w:highlight w:val="white"/>
        </w:rPr>
        <w:t xml:space="preserve">рядку проведения медицинского освидетельствования, включая проведение химико-токсикологических исследований наличия в организме иностранного гражданина или лица без гражданства наркотических средств или психотропных веществ либо новых потенциально опасных </w:t>
      </w:r>
      <w:r>
        <w:rPr>
          <w:rFonts w:ascii="Times New Roman" w:hAnsi="Times New Roman" w:eastAsia="Times New Roman" w:cs="Times New Roman"/>
          <w:b w:val="0"/>
          <w:sz w:val="28"/>
          <w:szCs w:val="28"/>
          <w:highlight w:val="white"/>
        </w:rPr>
        <w:t xml:space="preserve">психоактивных</w:t>
      </w:r>
      <w:r>
        <w:rPr>
          <w:rFonts w:ascii="Times New Roman" w:hAnsi="Times New Roman" w:eastAsia="Times New Roman" w:cs="Times New Roman"/>
          <w:b w:val="0"/>
          <w:sz w:val="28"/>
          <w:szCs w:val="28"/>
          <w:highlight w:val="white"/>
        </w:rPr>
        <w:t xml:space="preserve"> веществ и их метаболитов, на наличие или отсутствие у иностран</w:t>
      </w:r>
      <w:r>
        <w:rPr>
          <w:rFonts w:ascii="Times New Roman" w:hAnsi="Times New Roman" w:eastAsia="Times New Roman" w:cs="Times New Roman"/>
          <w:b w:val="0"/>
          <w:sz w:val="28"/>
          <w:szCs w:val="28"/>
          <w:highlight w:val="white"/>
        </w:rPr>
        <w:t xml:space="preserve">ного гражданина или лица без гражданства инфекционных заболеваний, представляющих опасность для окружающих, и заболевания, вызываемого вирусом иммунодефицита человека (ВИЧ-инфекции), утвержденному приказом Министерства здравоохранения Российской Федерации </w:t>
      </w:r>
      <w:hyperlink r:id="rId17" w:tooltip="https://docs.cntd.ru/document/727231433" w:history="1">
        <w:r>
          <w:rPr>
            <w:rStyle w:val="970"/>
            <w:rFonts w:ascii="Times New Roman" w:hAnsi="Times New Roman" w:eastAsia="Times New Roman" w:cs="Times New Roman"/>
            <w:b w:val="0"/>
            <w:color w:val="auto"/>
            <w:sz w:val="28"/>
            <w:szCs w:val="28"/>
            <w:highlight w:val="white"/>
            <w:u w:val="none"/>
          </w:rPr>
          <w:t xml:space="preserve">от 19.11.2021 № 1079н</w:t>
        </w:r>
      </w:hyperlink>
      <w:r>
        <w:rPr>
          <w:rFonts w:ascii="Times New Roman" w:hAnsi="Times New Roman" w:eastAsia="Times New Roman" w:cs="Times New Roman"/>
          <w:b w:val="0"/>
          <w:sz w:val="28"/>
          <w:szCs w:val="28"/>
          <w:highlight w:val="white"/>
        </w:rPr>
        <w:t xml:space="preserve"> «Об утверждении По</w:t>
      </w:r>
      <w:r>
        <w:rPr>
          <w:rFonts w:ascii="Times New Roman" w:hAnsi="Times New Roman" w:eastAsia="Times New Roman" w:cs="Times New Roman"/>
          <w:b w:val="0"/>
          <w:sz w:val="28"/>
          <w:szCs w:val="28"/>
          <w:highlight w:val="white"/>
        </w:rPr>
        <w:t xml:space="preserve">рядка проведения медицинского освидетельствования, включая проведение химико-токсикологических исследований наличия в организме иностранного гражданина или лица без гражданства наркотических средств или психотропных веществ либо новых потенциально опасных </w:t>
      </w:r>
      <w:r>
        <w:rPr>
          <w:rFonts w:ascii="Times New Roman" w:hAnsi="Times New Roman" w:eastAsia="Times New Roman" w:cs="Times New Roman"/>
          <w:b w:val="0"/>
          <w:sz w:val="28"/>
          <w:szCs w:val="28"/>
          <w:highlight w:val="white"/>
        </w:rPr>
        <w:t xml:space="preserve">психоактивных</w:t>
      </w:r>
      <w:r>
        <w:rPr>
          <w:rFonts w:ascii="Times New Roman" w:hAnsi="Times New Roman" w:eastAsia="Times New Roman" w:cs="Times New Roman"/>
          <w:b w:val="0"/>
          <w:sz w:val="28"/>
          <w:szCs w:val="28"/>
          <w:highlight w:val="white"/>
        </w:rPr>
        <w:t xml:space="preserve"> веществ и их метаболитов, на наличие или отсутствие у иностранного гражданина или лица без гражданства инфекционных заболеваний, представляющих опасность для окружающих, и забо</w:t>
      </w:r>
      <w:r>
        <w:rPr>
          <w:rFonts w:ascii="Times New Roman" w:hAnsi="Times New Roman" w:eastAsia="Times New Roman" w:cs="Times New Roman"/>
          <w:b w:val="0"/>
          <w:sz w:val="28"/>
          <w:szCs w:val="28"/>
          <w:highlight w:val="white"/>
        </w:rPr>
        <w:t xml:space="preserve">левания, вызываемого вирусом иммунодефицита человека (ВИЧ-инфекции), формы бланка и срока действия медицинского заключения об отсутствии факта употребления наркотических средств или психотропных веществ без назначения врача либо новых потенциально опасных </w:t>
      </w:r>
      <w:r>
        <w:rPr>
          <w:rFonts w:ascii="Times New Roman" w:hAnsi="Times New Roman" w:eastAsia="Times New Roman" w:cs="Times New Roman"/>
          <w:b w:val="0"/>
          <w:sz w:val="28"/>
          <w:szCs w:val="28"/>
          <w:highlight w:val="white"/>
        </w:rPr>
        <w:t xml:space="preserve">психоактивных</w:t>
      </w:r>
      <w:r>
        <w:rPr>
          <w:rFonts w:ascii="Times New Roman" w:hAnsi="Times New Roman" w:eastAsia="Times New Roman" w:cs="Times New Roman"/>
          <w:b w:val="0"/>
          <w:sz w:val="28"/>
          <w:szCs w:val="28"/>
          <w:highlight w:val="white"/>
        </w:rPr>
        <w:t xml:space="preserve"> веществ, а также формы, описания бланка и срока действия медицинского заключения о наличии (отсутствии) инфекционных заболеваний, представляющих опасность для окружающ</w:t>
      </w:r>
      <w:r>
        <w:rPr>
          <w:rFonts w:ascii="Times New Roman" w:hAnsi="Times New Roman" w:eastAsia="Times New Roman" w:cs="Times New Roman"/>
          <w:b w:val="0"/>
          <w:color w:val="000000" w:themeColor="text1"/>
          <w:sz w:val="28"/>
          <w:szCs w:val="28"/>
          <w:highlight w:val="white"/>
        </w:rPr>
        <w:t xml:space="preserve">их» и заболевания, вызываемого вирусом иммунодефицита человека (ВИЧ-инфекции)</w:t>
      </w:r>
      <w:r>
        <w:rPr>
          <w:rFonts w:ascii="Times New Roman" w:hAnsi="Times New Roman" w:eastAsia="Times New Roman" w:cs="Times New Roman"/>
          <w:b w:val="0"/>
          <w:color w:val="000000" w:themeColor="text1"/>
          <w:sz w:val="28"/>
          <w:szCs w:val="28"/>
        </w:rPr>
        <w:t xml:space="preserve">,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b w:val="0"/>
          <w:color w:val="000000" w:themeColor="text1"/>
          <w:sz w:val="28"/>
          <w:szCs w:val="28"/>
        </w:rPr>
        <w:t xml:space="preserve">согласно приложению № 3;</w:t>
      </w:r>
      <w:r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r>
    </w:p>
    <w:p>
      <w:pPr>
        <w:ind w:firstLine="720"/>
        <w:jc w:val="both"/>
        <w:rPr>
          <w:color w:val="000000" w:themeColor="text1"/>
          <w:sz w:val="28"/>
          <w:szCs w:val="28"/>
        </w:rPr>
      </w:pPr>
      <w:r>
        <w:rPr>
          <w:color w:val="000000"/>
          <w:sz w:val="28"/>
          <w:szCs w:val="28"/>
          <w:lang w:eastAsia="en-US"/>
        </w:rPr>
        <w:t xml:space="preserve">4) список </w:t>
      </w:r>
      <w:r>
        <w:rPr>
          <w:color w:val="000000"/>
          <w:sz w:val="28"/>
          <w:szCs w:val="28"/>
          <w:lang w:eastAsia="en-US"/>
        </w:rPr>
        <w:t xml:space="preserve">иностранных граждан и лиц без гражданства, проходивших медицинское освидетельствование </w:t>
      </w:r>
      <w:r>
        <w:rPr>
          <w:color w:val="000000"/>
          <w:sz w:val="28"/>
          <w:szCs w:val="28"/>
          <w:lang w:eastAsia="en-US"/>
        </w:rPr>
        <w:t xml:space="preserve">в__</w:t>
      </w:r>
      <w:r>
        <w:rPr>
          <w:color w:val="000000"/>
          <w:sz w:val="28"/>
          <w:szCs w:val="28"/>
        </w:rPr>
        <w:t xml:space="preserve">__</w:t>
      </w:r>
      <w:r>
        <w:rPr>
          <w:color w:val="000000"/>
          <w:sz w:val="28"/>
          <w:szCs w:val="28"/>
          <w:lang w:eastAsia="en-US"/>
        </w:rPr>
        <w:t xml:space="preserve">___и</w:t>
      </w:r>
      <w:r>
        <w:rPr>
          <w:color w:val="000000"/>
          <w:sz w:val="28"/>
          <w:szCs w:val="28"/>
          <w:lang w:eastAsia="en-US"/>
        </w:rPr>
        <w:t xml:space="preserve"> направленных на дообследованные в ГБУЗ Н</w:t>
      </w:r>
      <w:r>
        <w:rPr>
          <w:color w:val="000000" w:themeColor="text1"/>
          <w:sz w:val="28"/>
          <w:szCs w:val="28"/>
          <w:lang w:eastAsia="en-US"/>
        </w:rPr>
        <w:t xml:space="preserve">СО «</w:t>
      </w:r>
      <w:r>
        <w:rPr>
          <w:color w:val="000000" w:themeColor="text1"/>
          <w:sz w:val="28"/>
          <w:szCs w:val="28"/>
          <w:lang w:eastAsia="en-US"/>
        </w:rPr>
        <w:t xml:space="preserve">НОКИБ</w:t>
      </w:r>
      <w:r>
        <w:rPr>
          <w:color w:val="000000" w:themeColor="text1"/>
          <w:sz w:val="28"/>
          <w:szCs w:val="28"/>
          <w:lang w:eastAsia="en-US"/>
        </w:rPr>
        <w:t xml:space="preserve">»</w:t>
      </w:r>
      <w:r>
        <w:rPr>
          <w:color w:val="000000" w:themeColor="text1"/>
          <w:sz w:val="28"/>
          <w:szCs w:val="28"/>
          <w:lang w:eastAsia="en-US"/>
        </w:rPr>
        <w:t xml:space="preserve">,</w:t>
      </w:r>
      <w:r>
        <w:rPr>
          <w:color w:val="000000" w:themeColor="text1"/>
          <w:sz w:val="28"/>
          <w:szCs w:val="28"/>
          <w:lang w:eastAsia="en-US"/>
        </w:rPr>
        <w:t xml:space="preserve"> </w:t>
      </w:r>
      <w:r>
        <w:rPr>
          <w:color w:val="000000" w:themeColor="text1"/>
          <w:sz w:val="28"/>
          <w:szCs w:val="28"/>
        </w:rPr>
        <w:t xml:space="preserve">согласно приложению № 4</w:t>
      </w:r>
      <w:r>
        <w:rPr>
          <w:color w:val="000000" w:themeColor="text1"/>
          <w:sz w:val="28"/>
          <w:szCs w:val="28"/>
          <w:lang w:eastAsia="en-US"/>
        </w:rPr>
        <w:t xml:space="preserve">;</w:t>
      </w:r>
      <w:r>
        <w:rPr>
          <w:color w:val="000000" w:themeColor="text1"/>
          <w:sz w:val="28"/>
          <w:szCs w:val="28"/>
        </w:rPr>
      </w:r>
      <w:r>
        <w:rPr>
          <w:color w:val="000000" w:themeColor="text1"/>
          <w:sz w:val="28"/>
          <w:szCs w:val="28"/>
        </w:rPr>
      </w:r>
    </w:p>
    <w:p>
      <w:pPr>
        <w:ind w:firstLine="72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  <w:lang w:eastAsia="en-US"/>
        </w:rPr>
        <w:t xml:space="preserve">5) список иностранных граждан и лиц без гражданства, проходивших медицинское освидетельствование </w:t>
      </w:r>
      <w:r>
        <w:rPr>
          <w:color w:val="000000" w:themeColor="text1"/>
          <w:sz w:val="28"/>
          <w:szCs w:val="28"/>
          <w:lang w:eastAsia="en-US"/>
        </w:rPr>
        <w:t xml:space="preserve">в________и</w:t>
      </w:r>
      <w:r>
        <w:rPr>
          <w:color w:val="000000" w:themeColor="text1"/>
          <w:sz w:val="28"/>
          <w:szCs w:val="28"/>
          <w:lang w:eastAsia="en-US"/>
        </w:rPr>
        <w:t xml:space="preserve"> направленных на дообследованные в ГБУЗ НСО «ГОНКТБ»</w:t>
      </w:r>
      <w:r>
        <w:rPr>
          <w:color w:val="000000" w:themeColor="text1"/>
          <w:sz w:val="28"/>
          <w:szCs w:val="28"/>
          <w:lang w:eastAsia="en-US"/>
        </w:rPr>
        <w:t xml:space="preserve">,</w:t>
      </w:r>
      <w:r>
        <w:rPr>
          <w:color w:val="000000" w:themeColor="text1"/>
          <w:sz w:val="28"/>
          <w:szCs w:val="28"/>
          <w:lang w:eastAsia="en-US"/>
        </w:rPr>
        <w:t xml:space="preserve"> </w:t>
      </w:r>
      <w:r>
        <w:rPr>
          <w:color w:val="000000" w:themeColor="text1"/>
          <w:sz w:val="28"/>
          <w:szCs w:val="28"/>
        </w:rPr>
        <w:t xml:space="preserve">согласно приложению № 5;</w:t>
      </w:r>
      <w:r>
        <w:rPr>
          <w:color w:val="000000" w:themeColor="text1"/>
          <w:sz w:val="28"/>
          <w:szCs w:val="28"/>
        </w:rPr>
      </w:r>
      <w:r>
        <w:rPr>
          <w:color w:val="000000" w:themeColor="text1"/>
          <w:sz w:val="28"/>
          <w:szCs w:val="28"/>
        </w:rPr>
      </w:r>
    </w:p>
    <w:p>
      <w:pPr>
        <w:ind w:firstLine="72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6) список иностранных граждан и лиц без гражданства, проходивших медицинское освидетельствование </w:t>
      </w:r>
      <w:r>
        <w:rPr>
          <w:color w:val="000000" w:themeColor="text1"/>
          <w:sz w:val="28"/>
          <w:szCs w:val="28"/>
        </w:rPr>
        <w:t xml:space="preserve">в_______и</w:t>
      </w:r>
      <w:r>
        <w:rPr>
          <w:color w:val="000000" w:themeColor="text1"/>
          <w:sz w:val="28"/>
          <w:szCs w:val="28"/>
        </w:rPr>
        <w:t xml:space="preserve"> направленных </w:t>
      </w:r>
      <w:r>
        <w:rPr>
          <w:color w:val="000000" w:themeColor="text1"/>
          <w:sz w:val="28"/>
          <w:szCs w:val="28"/>
          <w:highlight w:val="white"/>
        </w:rPr>
        <w:t xml:space="preserve">на </w:t>
      </w:r>
      <w:r>
        <w:rPr>
          <w:color w:val="000000" w:themeColor="text1"/>
          <w:sz w:val="28"/>
          <w:szCs w:val="28"/>
          <w:highlight w:val="white"/>
        </w:rPr>
        <w:t xml:space="preserve">дообследование</w:t>
      </w:r>
      <w:r>
        <w:rPr>
          <w:color w:val="000000" w:themeColor="text1"/>
          <w:sz w:val="28"/>
          <w:szCs w:val="28"/>
          <w:highlight w:val="white"/>
        </w:rPr>
        <w:t xml:space="preserve"> ГБУЗ НСО «НОККВД»</w:t>
      </w:r>
      <w:r>
        <w:rPr>
          <w:color w:val="000000" w:themeColor="text1"/>
          <w:sz w:val="28"/>
          <w:szCs w:val="28"/>
        </w:rPr>
        <w:t xml:space="preserve">,</w:t>
      </w:r>
      <w:r>
        <w:rPr>
          <w:color w:val="000000" w:themeColor="text1"/>
          <w:sz w:val="28"/>
          <w:szCs w:val="28"/>
        </w:rPr>
        <w:t xml:space="preserve"> согласно приложению № 6;</w:t>
      </w:r>
      <w:r>
        <w:rPr>
          <w:color w:val="000000" w:themeColor="text1"/>
          <w:sz w:val="28"/>
          <w:szCs w:val="28"/>
        </w:rPr>
      </w:r>
      <w:r>
        <w:rPr>
          <w:color w:val="000000" w:themeColor="text1"/>
          <w:sz w:val="28"/>
          <w:szCs w:val="28"/>
        </w:rPr>
      </w:r>
    </w:p>
    <w:p>
      <w:pPr>
        <w:ind w:firstLine="72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7) </w:t>
      </w:r>
      <w:r>
        <w:rPr>
          <w:color w:val="000000" w:themeColor="text1"/>
          <w:sz w:val="28"/>
          <w:szCs w:val="28"/>
          <w:lang w:bidi="ru-RU"/>
        </w:rPr>
        <w:t xml:space="preserve">отчет об иностранных гражданах, прошедших медицинское освидетельствование</w:t>
      </w:r>
      <w:r>
        <w:rPr>
          <w:color w:val="000000" w:themeColor="text1"/>
          <w:sz w:val="28"/>
          <w:szCs w:val="28"/>
          <w:lang w:bidi="ru-RU"/>
        </w:rPr>
        <w:t xml:space="preserve">,</w:t>
      </w:r>
      <w:r>
        <w:rPr>
          <w:color w:val="000000" w:themeColor="text1"/>
          <w:sz w:val="28"/>
          <w:szCs w:val="28"/>
          <w:lang w:bidi="ru-RU"/>
        </w:rPr>
        <w:t xml:space="preserve"> </w:t>
      </w:r>
      <w:r>
        <w:rPr>
          <w:color w:val="000000" w:themeColor="text1"/>
          <w:sz w:val="28"/>
          <w:szCs w:val="28"/>
        </w:rPr>
        <w:t xml:space="preserve">согласно приложению № 7;</w:t>
      </w:r>
      <w:r>
        <w:rPr>
          <w:color w:val="000000" w:themeColor="text1"/>
          <w:sz w:val="28"/>
          <w:szCs w:val="28"/>
        </w:rPr>
      </w:r>
      <w:r>
        <w:rPr>
          <w:color w:val="000000" w:themeColor="text1"/>
          <w:sz w:val="28"/>
          <w:szCs w:val="28"/>
        </w:rPr>
      </w:r>
    </w:p>
    <w:p>
      <w:pPr>
        <w:ind w:firstLine="72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  <w:highlight w:val="white"/>
        </w:rPr>
        <w:t xml:space="preserve">8) отчет о числе иностранных граждан, у которых выявлены заболевания при прохождении медицинского освидетельствования</w:t>
      </w:r>
      <w:r>
        <w:rPr>
          <w:color w:val="000000" w:themeColor="text1"/>
          <w:sz w:val="28"/>
          <w:szCs w:val="28"/>
        </w:rPr>
        <w:t xml:space="preserve">,</w:t>
      </w:r>
      <w:r>
        <w:rPr>
          <w:color w:val="000000" w:themeColor="text1"/>
          <w:sz w:val="28"/>
          <w:szCs w:val="28"/>
        </w:rPr>
        <w:t xml:space="preserve"> согласно приложению № 7;</w:t>
      </w:r>
      <w:r>
        <w:rPr>
          <w:color w:val="000000" w:themeColor="text1"/>
          <w:sz w:val="28"/>
          <w:szCs w:val="28"/>
        </w:rPr>
      </w:r>
      <w:r>
        <w:rPr>
          <w:color w:val="000000" w:themeColor="text1"/>
          <w:sz w:val="28"/>
          <w:szCs w:val="28"/>
        </w:rPr>
      </w:r>
    </w:p>
    <w:p>
      <w:pPr>
        <w:ind w:firstLine="720"/>
        <w:jc w:val="both"/>
        <w:rPr>
          <w:b/>
          <w:color w:val="000000" w:themeColor="text1"/>
          <w:sz w:val="28"/>
        </w:rPr>
      </w:pPr>
      <w:r>
        <w:rPr>
          <w:color w:val="000000" w:themeColor="text1"/>
          <w:sz w:val="28"/>
          <w:szCs w:val="28"/>
        </w:rPr>
        <w:t xml:space="preserve">9) п</w:t>
      </w:r>
      <w:r>
        <w:rPr>
          <w:color w:val="000000" w:themeColor="text1"/>
          <w:sz w:val="28"/>
        </w:rPr>
        <w:t xml:space="preserve">акет документов, </w:t>
      </w:r>
      <w:r>
        <w:rPr>
          <w:rFonts w:eastAsia="Calibri"/>
          <w:color w:val="000000" w:themeColor="text1"/>
          <w:sz w:val="28"/>
          <w:szCs w:val="28"/>
          <w:lang w:eastAsia="en-US"/>
        </w:rPr>
        <w:t xml:space="preserve">необходимых для подготовки решения о нежелательности пребывания (проживания)</w:t>
      </w:r>
      <w:r>
        <w:rPr>
          <w:rFonts w:eastAsia="Calibri"/>
          <w:color w:val="000000" w:themeColor="text1"/>
          <w:sz w:val="28"/>
          <w:szCs w:val="28"/>
        </w:rPr>
        <w:t xml:space="preserve"> </w:t>
      </w:r>
      <w:r>
        <w:rPr>
          <w:rFonts w:eastAsia="Calibri"/>
          <w:color w:val="000000" w:themeColor="text1"/>
          <w:sz w:val="28"/>
          <w:szCs w:val="28"/>
        </w:rPr>
        <w:t xml:space="preserve">в Российской Федерации </w:t>
      </w:r>
      <w:r>
        <w:rPr>
          <w:rFonts w:eastAsia="Calibri"/>
          <w:color w:val="000000" w:themeColor="text1"/>
          <w:sz w:val="28"/>
          <w:szCs w:val="28"/>
          <w:lang w:eastAsia="en-US"/>
        </w:rPr>
        <w:t xml:space="preserve">иностранного гражданина и лица без гражданства</w:t>
      </w:r>
      <w:r>
        <w:rPr>
          <w:rFonts w:eastAsia="Calibri"/>
          <w:color w:val="000000" w:themeColor="text1"/>
          <w:sz w:val="28"/>
          <w:szCs w:val="28"/>
          <w:lang w:eastAsia="en-US"/>
        </w:rPr>
        <w:t xml:space="preserve">,</w:t>
      </w:r>
      <w:r>
        <w:rPr>
          <w:b/>
          <w:bCs/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согласно приложению № 9.</w:t>
      </w:r>
      <w:r>
        <w:rPr>
          <w:b/>
          <w:color w:val="000000" w:themeColor="text1"/>
          <w:sz w:val="28"/>
        </w:rPr>
      </w:r>
      <w:r>
        <w:rPr>
          <w:b/>
          <w:color w:val="000000" w:themeColor="text1"/>
          <w:sz w:val="28"/>
        </w:rPr>
      </w:r>
    </w:p>
    <w:p>
      <w:pPr>
        <w:ind w:firstLine="720"/>
        <w:jc w:val="both"/>
        <w:rPr>
          <w:color w:val="000000" w:themeColor="text1"/>
          <w:sz w:val="28"/>
          <w:szCs w:val="28"/>
          <w:highlight w:val="white"/>
        </w:rPr>
      </w:pPr>
      <w:r>
        <w:rPr>
          <w:color w:val="000000" w:themeColor="text1"/>
          <w:sz w:val="28"/>
          <w:szCs w:val="28"/>
          <w:highlight w:val="white"/>
        </w:rPr>
      </w:r>
      <w:r>
        <w:rPr>
          <w:color w:val="000000" w:themeColor="text1"/>
          <w:sz w:val="28"/>
          <w:szCs w:val="28"/>
          <w:highlight w:val="white"/>
        </w:rPr>
      </w:r>
      <w:r>
        <w:rPr>
          <w:color w:val="000000" w:themeColor="text1"/>
          <w:sz w:val="28"/>
          <w:szCs w:val="28"/>
          <w:highlight w:val="white"/>
        </w:rPr>
      </w:r>
    </w:p>
    <w:p>
      <w:pPr>
        <w:pStyle w:val="1037"/>
        <w:ind w:firstLine="720"/>
        <w:jc w:val="both"/>
        <w:rPr>
          <w:rFonts w:ascii="Times New Roman" w:hAnsi="Times New Roman" w:cs="Times New Roman"/>
          <w:b w:val="0"/>
          <w:color w:val="000000" w:themeColor="text1"/>
          <w:sz w:val="28"/>
          <w:szCs w:val="28"/>
          <w:highlight w:val="white"/>
        </w:rPr>
      </w:pPr>
      <w:r>
        <w:rPr>
          <w:rFonts w:ascii="Times New Roman" w:hAnsi="Times New Roman" w:cs="Times New Roman"/>
          <w:b w:val="0"/>
          <w:color w:val="000000" w:themeColor="text1"/>
          <w:sz w:val="28"/>
          <w:szCs w:val="28"/>
          <w:highlight w:val="white"/>
        </w:rPr>
      </w:r>
      <w:r>
        <w:rPr>
          <w:rFonts w:ascii="Times New Roman" w:hAnsi="Times New Roman" w:cs="Times New Roman"/>
          <w:b w:val="0"/>
          <w:color w:val="000000" w:themeColor="text1"/>
          <w:sz w:val="28"/>
          <w:szCs w:val="28"/>
          <w:highlight w:val="white"/>
        </w:rPr>
      </w:r>
      <w:r>
        <w:rPr>
          <w:rFonts w:ascii="Times New Roman" w:hAnsi="Times New Roman" w:cs="Times New Roman"/>
          <w:b w:val="0"/>
          <w:color w:val="000000" w:themeColor="text1"/>
          <w:sz w:val="28"/>
          <w:szCs w:val="28"/>
          <w:highlight w:val="white"/>
        </w:rPr>
      </w:r>
    </w:p>
    <w:p>
      <w:pPr>
        <w:pStyle w:val="1024"/>
        <w:ind w:firstLine="709"/>
        <w:jc w:val="both"/>
        <w:shd w:val="clear" w:color="ffffff" w:themeColor="background1" w:fill="ffffff" w:themeFill="background1"/>
        <w:rPr>
          <w:b w:val="0"/>
          <w:bCs w:val="0"/>
          <w:color w:val="000000" w:themeColor="text1"/>
          <w:szCs w:val="28"/>
          <w:highlight w:val="white"/>
        </w:rPr>
        <w:pBdr>
          <w:right w:val="none" w:color="000000" w:sz="4" w:space="2"/>
        </w:pBdr>
      </w:pPr>
      <w:r>
        <w:rPr>
          <w:b w:val="0"/>
          <w:bCs w:val="0"/>
          <w:color w:val="000000" w:themeColor="text1"/>
          <w:szCs w:val="28"/>
          <w:highlight w:val="white"/>
        </w:rPr>
        <w:t xml:space="preserve">2. Главным врачам государственных учреждений Новосибирской области, подведомственных министерству здравоохранения Новосибирской области</w:t>
      </w:r>
      <w:r>
        <w:rPr>
          <w:b w:val="0"/>
          <w:bCs w:val="0"/>
          <w:color w:val="000000" w:themeColor="text1"/>
          <w:szCs w:val="28"/>
          <w:highlight w:val="white"/>
        </w:rPr>
        <w:t xml:space="preserve">,</w:t>
      </w:r>
      <w:r>
        <w:rPr>
          <w:b w:val="0"/>
          <w:bCs w:val="0"/>
          <w:color w:val="000000" w:themeColor="text1"/>
          <w:szCs w:val="28"/>
          <w:highlight w:val="white"/>
        </w:rPr>
        <w:t xml:space="preserve"> в соответствии с приложением № 3</w:t>
      </w:r>
      <w:r>
        <w:rPr>
          <w:b w:val="0"/>
          <w:bCs w:val="0"/>
          <w:color w:val="000000" w:themeColor="text1"/>
          <w:szCs w:val="28"/>
          <w:highlight w:val="white"/>
        </w:rPr>
        <w:t xml:space="preserve"> к настоящему приказу</w:t>
      </w:r>
      <w:r>
        <w:rPr>
          <w:b w:val="0"/>
          <w:bCs w:val="0"/>
          <w:color w:val="000000" w:themeColor="text1"/>
          <w:szCs w:val="28"/>
          <w:highlight w:val="white"/>
        </w:rPr>
        <w:t xml:space="preserve">:</w:t>
      </w:r>
      <w:r>
        <w:rPr>
          <w:b w:val="0"/>
          <w:bCs w:val="0"/>
          <w:color w:val="000000" w:themeColor="text1"/>
          <w:szCs w:val="28"/>
          <w:highlight w:val="white"/>
        </w:rPr>
      </w:r>
      <w:r>
        <w:rPr>
          <w:b w:val="0"/>
          <w:bCs w:val="0"/>
          <w:color w:val="000000" w:themeColor="text1"/>
          <w:szCs w:val="28"/>
          <w:highlight w:val="white"/>
        </w:rPr>
      </w:r>
    </w:p>
    <w:p>
      <w:pPr>
        <w:pStyle w:val="1024"/>
        <w:ind w:firstLine="709"/>
        <w:jc w:val="both"/>
        <w:rPr>
          <w:b w:val="0"/>
          <w:szCs w:val="28"/>
        </w:rPr>
        <w:pBdr>
          <w:right w:val="none" w:color="000000" w:sz="4" w:space="2"/>
        </w:pBdr>
      </w:pPr>
      <w:r>
        <w:rPr>
          <w:b w:val="0"/>
          <w:szCs w:val="28"/>
        </w:rPr>
        <w:t xml:space="preserve">1) обеспечить проведение медицинских освидетельствований иностранных граждан и лиц без гражданства в соответствии с </w:t>
      </w:r>
      <w:r>
        <w:rPr>
          <w:b w:val="0"/>
          <w:szCs w:val="28"/>
        </w:rPr>
        <w:t xml:space="preserve">требованиями</w:t>
      </w:r>
      <w:r>
        <w:rPr>
          <w:b w:val="0"/>
          <w:szCs w:val="28"/>
        </w:rPr>
        <w:t xml:space="preserve"> Порядк</w:t>
      </w:r>
      <w:r>
        <w:rPr>
          <w:b w:val="0"/>
          <w:szCs w:val="28"/>
        </w:rPr>
        <w:t xml:space="preserve">а</w:t>
      </w:r>
      <w:r>
        <w:rPr>
          <w:b w:val="0"/>
          <w:szCs w:val="28"/>
        </w:rPr>
        <w:t xml:space="preserve">; </w:t>
      </w:r>
      <w:r>
        <w:rPr>
          <w:b w:val="0"/>
          <w:szCs w:val="28"/>
        </w:rPr>
      </w:r>
      <w:r>
        <w:rPr>
          <w:b w:val="0"/>
          <w:szCs w:val="28"/>
        </w:rPr>
      </w:r>
    </w:p>
    <w:p>
      <w:pPr>
        <w:pStyle w:val="1024"/>
        <w:ind w:firstLine="709"/>
        <w:jc w:val="both"/>
        <w:rPr>
          <w:b w:val="0"/>
          <w:szCs w:val="28"/>
        </w:rPr>
        <w:pBdr>
          <w:right w:val="none" w:color="000000" w:sz="4" w:space="2"/>
        </w:pBdr>
      </w:pPr>
      <w:r>
        <w:rPr>
          <w:b w:val="0"/>
          <w:szCs w:val="28"/>
        </w:rPr>
        <w:t xml:space="preserve">2) назначить лиц, ответственных за проведение медицинского освидетельствования иностранных граждан и лиц без гражданства, ведение документации и формирование отчетности;</w:t>
      </w:r>
      <w:r>
        <w:rPr>
          <w:b w:val="0"/>
          <w:szCs w:val="28"/>
        </w:rPr>
      </w:r>
      <w:r>
        <w:rPr>
          <w:b w:val="0"/>
          <w:szCs w:val="28"/>
        </w:rPr>
      </w:r>
    </w:p>
    <w:p>
      <w:pPr>
        <w:pStyle w:val="1024"/>
        <w:ind w:firstLine="709"/>
        <w:jc w:val="both"/>
        <w:rPr>
          <w:b w:val="0"/>
          <w:bCs w:val="0"/>
          <w:szCs w:val="28"/>
          <w:highlight w:val="white"/>
        </w:rPr>
        <w:pBdr>
          <w:right w:val="none" w:color="000000" w:sz="4" w:space="2"/>
        </w:pBdr>
      </w:pPr>
      <w:r>
        <w:rPr>
          <w:b w:val="0"/>
          <w:bCs w:val="0"/>
          <w:szCs w:val="28"/>
          <w:highlight w:val="white"/>
        </w:rPr>
        <w:t xml:space="preserve">3) обеспечить регистрацию и учет обратившихся иностранных граждан и лиц без гражданства по форме</w:t>
      </w:r>
      <w:r>
        <w:rPr>
          <w:b w:val="0"/>
          <w:bCs w:val="0"/>
          <w:szCs w:val="28"/>
          <w:highlight w:val="white"/>
        </w:rPr>
        <w:t xml:space="preserve">,</w:t>
      </w:r>
      <w:r>
        <w:rPr>
          <w:b w:val="0"/>
          <w:bCs w:val="0"/>
          <w:szCs w:val="28"/>
          <w:highlight w:val="white"/>
        </w:rPr>
        <w:t xml:space="preserve"> утвержденной настоящим приказом, в том числе в электронном виде;</w:t>
      </w:r>
      <w:r>
        <w:rPr>
          <w:b w:val="0"/>
          <w:bCs w:val="0"/>
          <w:szCs w:val="28"/>
          <w:highlight w:val="white"/>
        </w:rPr>
      </w:r>
      <w:r>
        <w:rPr>
          <w:b w:val="0"/>
          <w:bCs w:val="0"/>
          <w:szCs w:val="28"/>
          <w:highlight w:val="white"/>
        </w:rPr>
      </w:r>
    </w:p>
    <w:p>
      <w:pPr>
        <w:pStyle w:val="1024"/>
        <w:ind w:firstLine="709"/>
        <w:jc w:val="both"/>
        <w:rPr>
          <w:b w:val="0"/>
          <w:bCs w:val="0"/>
          <w:szCs w:val="28"/>
        </w:rPr>
        <w:pBdr>
          <w:right w:val="none" w:color="000000" w:sz="4" w:space="2"/>
        </w:pBdr>
      </w:pPr>
      <w:r>
        <w:rPr>
          <w:b w:val="0"/>
          <w:bCs w:val="0"/>
          <w:szCs w:val="28"/>
        </w:rPr>
        <w:t xml:space="preserve">4) осуществлять учет и хранение копий сертификатов и медицинских заключений, выда</w:t>
      </w:r>
      <w:r>
        <w:rPr>
          <w:b w:val="0"/>
          <w:bCs w:val="0"/>
          <w:szCs w:val="28"/>
        </w:rPr>
        <w:t xml:space="preserve">нных</w:t>
      </w:r>
      <w:r>
        <w:rPr>
          <w:b w:val="0"/>
          <w:bCs w:val="0"/>
          <w:szCs w:val="28"/>
        </w:rPr>
        <w:t xml:space="preserve"> при освидетельствовании иностранных граждан и лиц без гражданства;</w:t>
      </w:r>
      <w:r>
        <w:rPr>
          <w:b w:val="0"/>
          <w:bCs w:val="0"/>
          <w:szCs w:val="28"/>
        </w:rPr>
      </w:r>
      <w:r>
        <w:rPr>
          <w:b w:val="0"/>
          <w:bCs w:val="0"/>
          <w:szCs w:val="28"/>
        </w:rPr>
      </w:r>
    </w:p>
    <w:p>
      <w:pPr>
        <w:pStyle w:val="1024"/>
        <w:ind w:firstLine="709"/>
        <w:jc w:val="both"/>
        <w:rPr>
          <w:b w:val="0"/>
          <w:bCs w:val="0"/>
          <w:szCs w:val="28"/>
        </w:rPr>
        <w:pBdr>
          <w:right w:val="none" w:color="000000" w:sz="4" w:space="2"/>
        </w:pBdr>
      </w:pPr>
      <w:r>
        <w:rPr>
          <w:b w:val="0"/>
          <w:bCs w:val="0"/>
          <w:szCs w:val="28"/>
        </w:rPr>
        <w:t xml:space="preserve">5) организовать ведение утвержденных форм государственной статистической отчетности, медицинской документации в соответствии с действующим законодательством Российской Федерации;</w:t>
      </w:r>
      <w:r>
        <w:rPr>
          <w:b w:val="0"/>
          <w:bCs w:val="0"/>
          <w:szCs w:val="28"/>
        </w:rPr>
      </w:r>
      <w:r>
        <w:rPr>
          <w:b w:val="0"/>
          <w:bCs w:val="0"/>
          <w:szCs w:val="28"/>
        </w:rPr>
      </w:r>
    </w:p>
    <w:p>
      <w:pPr>
        <w:pStyle w:val="1024"/>
        <w:ind w:firstLine="709"/>
        <w:jc w:val="both"/>
        <w:rPr>
          <w:b w:val="0"/>
          <w:bCs w:val="0"/>
          <w:szCs w:val="28"/>
          <w:highlight w:val="white"/>
        </w:rPr>
        <w:pBdr>
          <w:right w:val="none" w:color="000000" w:sz="4" w:space="2"/>
        </w:pBdr>
      </w:pPr>
      <w:r>
        <w:rPr>
          <w:b w:val="0"/>
          <w:bCs w:val="0"/>
          <w:szCs w:val="28"/>
          <w:highlight w:val="white"/>
        </w:rPr>
        <w:t xml:space="preserve">6) обеспечить осмотр врачом-психиатром-наркологом иностранных граждан и лиц без гражданства для установления факта употребления наркотических средств или психотропных веществ без назначения врача либо новых потенциально опасных </w:t>
      </w:r>
      <w:r>
        <w:rPr>
          <w:b w:val="0"/>
          <w:bCs w:val="0"/>
          <w:szCs w:val="28"/>
          <w:highlight w:val="white"/>
        </w:rPr>
        <w:t xml:space="preserve">психоактивных</w:t>
      </w:r>
      <w:r>
        <w:rPr>
          <w:b w:val="0"/>
          <w:bCs w:val="0"/>
          <w:szCs w:val="28"/>
          <w:highlight w:val="white"/>
        </w:rPr>
        <w:t xml:space="preserve"> веществ и их метаболитов по результатам проведения предварительного химико-токсикологического исследования;</w:t>
      </w:r>
      <w:r>
        <w:rPr>
          <w:b w:val="0"/>
          <w:bCs w:val="0"/>
          <w:szCs w:val="28"/>
          <w:highlight w:val="white"/>
        </w:rPr>
      </w:r>
      <w:r>
        <w:rPr>
          <w:b w:val="0"/>
          <w:bCs w:val="0"/>
          <w:szCs w:val="28"/>
          <w:highlight w:val="white"/>
        </w:rPr>
      </w:r>
    </w:p>
    <w:p>
      <w:pPr>
        <w:pStyle w:val="1024"/>
        <w:ind w:firstLine="709"/>
        <w:jc w:val="both"/>
        <w:rPr>
          <w:b w:val="0"/>
          <w:bCs w:val="0"/>
          <w:szCs w:val="28"/>
          <w:highlight w:val="white"/>
        </w:rPr>
        <w:pBdr>
          <w:right w:val="none" w:color="000000" w:sz="4" w:space="2"/>
        </w:pBdr>
      </w:pPr>
      <w:r>
        <w:rPr>
          <w:b w:val="0"/>
          <w:bCs w:val="0"/>
          <w:szCs w:val="28"/>
          <w:highlight w:val="white"/>
        </w:rPr>
        <w:t xml:space="preserve">7) обеспечить проведение подтверждающего химико-токсикологического исследования в клинико-диагностической </w:t>
      </w:r>
      <w:r>
        <w:rPr>
          <w:b w:val="0"/>
          <w:bCs w:val="0"/>
          <w:szCs w:val="28"/>
          <w:highlight w:val="white"/>
        </w:rPr>
        <w:t xml:space="preserve">лаборатории государственного бюджетного учреждения здравоохранения Новосибирской области «Новосибирский </w:t>
      </w:r>
      <w:r>
        <w:rPr>
          <w:b w:val="0"/>
          <w:bCs w:val="0"/>
          <w:szCs w:val="28"/>
        </w:rPr>
        <w:t xml:space="preserve">областной клинический наркологический диспансер» при положительном результате предварительного химико-токсикологического </w:t>
      </w:r>
      <w:r>
        <w:rPr>
          <w:b w:val="0"/>
          <w:bCs w:val="0"/>
          <w:szCs w:val="28"/>
          <w:highlight w:val="white"/>
        </w:rPr>
        <w:t xml:space="preserve">исследования, либо наличии признаков употребления наркотических средств или психотропных веществ;</w:t>
      </w:r>
      <w:r>
        <w:rPr>
          <w:b w:val="0"/>
          <w:bCs w:val="0"/>
          <w:szCs w:val="28"/>
          <w:highlight w:val="white"/>
        </w:rPr>
      </w:r>
      <w:r>
        <w:rPr>
          <w:b w:val="0"/>
          <w:bCs w:val="0"/>
          <w:szCs w:val="28"/>
          <w:highlight w:val="white"/>
        </w:rPr>
      </w:r>
    </w:p>
    <w:p>
      <w:pPr>
        <w:pStyle w:val="1024"/>
        <w:ind w:firstLine="709"/>
        <w:jc w:val="both"/>
        <w:rPr>
          <w:b w:val="0"/>
          <w:bCs w:val="0"/>
          <w:szCs w:val="28"/>
        </w:rPr>
        <w:pBdr>
          <w:right w:val="none" w:color="000000" w:sz="4" w:space="2"/>
        </w:pBdr>
      </w:pPr>
      <w:r>
        <w:rPr>
          <w:b w:val="0"/>
          <w:bCs w:val="0"/>
          <w:szCs w:val="28"/>
          <w:highlight w:val="white"/>
        </w:rPr>
        <w:t xml:space="preserve">8)</w:t>
      </w:r>
      <w:r>
        <w:t xml:space="preserve"> </w:t>
      </w:r>
      <w:r>
        <w:rPr>
          <w:b w:val="0"/>
          <w:bCs w:val="0"/>
          <w:szCs w:val="28"/>
          <w:highlight w:val="white"/>
        </w:rPr>
        <w:t xml:space="preserve">обеспечить направление в случае подозрения на инфекционную болезнь у иностранного гражданина и лица без гражданства в течение трех рабочих дней для подтверждения или исключения заболевания в следующие</w:t>
      </w:r>
      <w:r>
        <w:rPr>
          <w:b w:val="0"/>
          <w:bCs w:val="0"/>
          <w:szCs w:val="28"/>
        </w:rPr>
        <w:t xml:space="preserve"> медицинские организации по профилю:</w:t>
      </w:r>
      <w:r>
        <w:rPr>
          <w:b w:val="0"/>
          <w:bCs w:val="0"/>
          <w:szCs w:val="28"/>
        </w:rPr>
      </w:r>
      <w:r>
        <w:rPr>
          <w:b w:val="0"/>
          <w:bCs w:val="0"/>
          <w:szCs w:val="28"/>
        </w:rPr>
      </w:r>
    </w:p>
    <w:p>
      <w:pPr>
        <w:pStyle w:val="1024"/>
        <w:ind w:firstLine="709"/>
        <w:jc w:val="both"/>
        <w:rPr>
          <w:b w:val="0"/>
          <w:bCs w:val="0"/>
          <w:highlight w:val="white"/>
        </w:rPr>
        <w:pBdr>
          <w:right w:val="none" w:color="000000" w:sz="4" w:space="2"/>
        </w:pBdr>
      </w:pPr>
      <w:r>
        <w:rPr>
          <w:b w:val="0"/>
          <w:bCs w:val="0"/>
          <w:szCs w:val="28"/>
        </w:rPr>
        <w:t xml:space="preserve">а) </w:t>
      </w:r>
      <w:r>
        <w:rPr>
          <w:b w:val="0"/>
          <w:bCs w:val="0"/>
          <w:szCs w:val="28"/>
        </w:rPr>
        <w:t xml:space="preserve">«</w:t>
      </w:r>
      <w:r>
        <w:rPr>
          <w:b w:val="0"/>
          <w:bCs w:val="0"/>
          <w:szCs w:val="28"/>
        </w:rPr>
        <w:t xml:space="preserve">ВИЧ-инфекция</w:t>
      </w:r>
      <w:r>
        <w:rPr>
          <w:b w:val="0"/>
          <w:bCs w:val="0"/>
          <w:szCs w:val="28"/>
        </w:rPr>
        <w:t xml:space="preserve">»</w:t>
      </w:r>
      <w:r>
        <w:rPr>
          <w:b w:val="0"/>
          <w:bCs w:val="0"/>
          <w:szCs w:val="28"/>
        </w:rPr>
        <w:t xml:space="preserve"> - в государственное бюджетное учреждение здравоохранения Новосибирской</w:t>
      </w:r>
      <w:r>
        <w:rPr>
          <w:b w:val="0"/>
          <w:bCs w:val="0"/>
          <w:szCs w:val="28"/>
          <w:highlight w:val="white"/>
        </w:rPr>
        <w:t xml:space="preserve"> области «Новосибирская областная клиническая инфекционная больница» (далее - ГБУЗ НСО «НОКИБ»);</w:t>
      </w:r>
      <w:r>
        <w:rPr>
          <w:b w:val="0"/>
          <w:bCs w:val="0"/>
          <w:highlight w:val="white"/>
        </w:rPr>
      </w:r>
      <w:r>
        <w:rPr>
          <w:b w:val="0"/>
          <w:bCs w:val="0"/>
          <w:highlight w:val="white"/>
        </w:rPr>
      </w:r>
    </w:p>
    <w:p>
      <w:pPr>
        <w:pStyle w:val="1024"/>
        <w:ind w:firstLine="709"/>
        <w:jc w:val="both"/>
        <w:rPr>
          <w:b w:val="0"/>
          <w:bCs w:val="0"/>
          <w:szCs w:val="28"/>
        </w:rPr>
        <w:pBdr>
          <w:right w:val="none" w:color="000000" w:sz="4" w:space="2"/>
        </w:pBdr>
      </w:pPr>
      <w:r>
        <w:rPr>
          <w:b w:val="0"/>
          <w:bCs w:val="0"/>
          <w:szCs w:val="28"/>
        </w:rPr>
        <w:t xml:space="preserve">б) </w:t>
      </w:r>
      <w:r>
        <w:rPr>
          <w:b w:val="0"/>
          <w:bCs w:val="0"/>
          <w:szCs w:val="28"/>
        </w:rPr>
        <w:t xml:space="preserve">«</w:t>
      </w:r>
      <w:r>
        <w:rPr>
          <w:b w:val="0"/>
          <w:bCs w:val="0"/>
          <w:szCs w:val="28"/>
        </w:rPr>
        <w:t xml:space="preserve">фтизиатрия</w:t>
      </w:r>
      <w:r>
        <w:rPr>
          <w:b w:val="0"/>
          <w:bCs w:val="0"/>
          <w:szCs w:val="28"/>
        </w:rPr>
        <w:t xml:space="preserve">»</w:t>
      </w:r>
      <w:r>
        <w:rPr>
          <w:b w:val="0"/>
          <w:bCs w:val="0"/>
          <w:szCs w:val="28"/>
        </w:rPr>
        <w:t xml:space="preserve"> - в государственное бюджетное учреждение здравоохранения Новосибирской области «Государственная областная Новосибирская клиническая туберкулезная больница»</w:t>
      </w:r>
      <w:r>
        <w:t xml:space="preserve"> </w:t>
      </w:r>
      <w:r>
        <w:rPr>
          <w:b w:val="0"/>
          <w:bCs w:val="0"/>
          <w:szCs w:val="28"/>
        </w:rPr>
        <w:t xml:space="preserve">(далее - ГБУЗ НСО «ГОНКТБ»);</w:t>
      </w:r>
      <w:r>
        <w:rPr>
          <w:b w:val="0"/>
          <w:bCs w:val="0"/>
          <w:szCs w:val="28"/>
        </w:rPr>
      </w:r>
      <w:r>
        <w:rPr>
          <w:b w:val="0"/>
          <w:bCs w:val="0"/>
          <w:szCs w:val="28"/>
        </w:rPr>
      </w:r>
    </w:p>
    <w:p>
      <w:pPr>
        <w:pStyle w:val="1024"/>
        <w:ind w:firstLine="720"/>
        <w:jc w:val="both"/>
        <w:rPr>
          <w:b w:val="0"/>
          <w:bCs w:val="0"/>
          <w:szCs w:val="28"/>
        </w:rPr>
        <w:pBdr>
          <w:right w:val="none" w:color="000000" w:sz="4" w:space="2"/>
        </w:pBdr>
      </w:pPr>
      <w:r>
        <w:rPr>
          <w:b w:val="0"/>
          <w:bCs w:val="0"/>
          <w:szCs w:val="28"/>
        </w:rPr>
        <w:t xml:space="preserve">в) </w:t>
      </w:r>
      <w:r>
        <w:rPr>
          <w:b w:val="0"/>
          <w:bCs w:val="0"/>
          <w:szCs w:val="28"/>
        </w:rPr>
        <w:t xml:space="preserve">«</w:t>
      </w:r>
      <w:r>
        <w:rPr>
          <w:b w:val="0"/>
          <w:bCs w:val="0"/>
          <w:szCs w:val="28"/>
        </w:rPr>
        <w:t xml:space="preserve">венерология</w:t>
      </w:r>
      <w:r>
        <w:rPr>
          <w:b w:val="0"/>
          <w:bCs w:val="0"/>
          <w:szCs w:val="28"/>
        </w:rPr>
        <w:t xml:space="preserve">»</w:t>
      </w:r>
      <w:r>
        <w:rPr>
          <w:b w:val="0"/>
          <w:bCs w:val="0"/>
          <w:szCs w:val="28"/>
        </w:rPr>
        <w:t xml:space="preserve"> - в государственное бюджетное учреждение здравоохранения Новосибирской области «Новосибирский областной клинический кожно-венерологический диспансер»</w:t>
      </w:r>
      <w:r>
        <w:t xml:space="preserve"> </w:t>
      </w:r>
      <w:r>
        <w:rPr>
          <w:b w:val="0"/>
          <w:bCs w:val="0"/>
          <w:szCs w:val="28"/>
        </w:rPr>
        <w:t xml:space="preserve">(далее - ГБУЗ НСО «НО</w:t>
      </w:r>
      <w:r>
        <w:rPr>
          <w:b w:val="0"/>
          <w:bCs w:val="0"/>
          <w:szCs w:val="28"/>
        </w:rPr>
        <w:t xml:space="preserve">К</w:t>
      </w:r>
      <w:r>
        <w:rPr>
          <w:b w:val="0"/>
          <w:bCs w:val="0"/>
          <w:szCs w:val="28"/>
        </w:rPr>
        <w:t xml:space="preserve">КВД»);</w:t>
      </w:r>
      <w:r>
        <w:rPr>
          <w:b w:val="0"/>
          <w:bCs w:val="0"/>
          <w:szCs w:val="28"/>
        </w:rPr>
      </w:r>
      <w:r>
        <w:rPr>
          <w:b w:val="0"/>
          <w:bCs w:val="0"/>
          <w:szCs w:val="28"/>
        </w:rPr>
      </w:r>
    </w:p>
    <w:p>
      <w:pPr>
        <w:pStyle w:val="1024"/>
        <w:ind w:firstLine="709"/>
        <w:jc w:val="both"/>
        <w:rPr>
          <w:b w:val="0"/>
          <w:bCs w:val="0"/>
          <w:szCs w:val="28"/>
          <w:highlight w:val="white"/>
        </w:rPr>
        <w:pBdr>
          <w:right w:val="none" w:color="000000" w:sz="4" w:space="2"/>
        </w:pBdr>
      </w:pPr>
      <w:r>
        <w:rPr>
          <w:b w:val="0"/>
          <w:bCs w:val="0"/>
          <w:szCs w:val="28"/>
          <w:highlight w:val="white"/>
        </w:rPr>
        <w:t xml:space="preserve">9) обеспечить направление списка иностранных граждан и лиц без гражданства, проходивших медицинское освидетельствование и направленных на дообследованные в течении 12 часов от момента выдачи направления в:</w:t>
      </w:r>
      <w:r>
        <w:rPr>
          <w:b w:val="0"/>
          <w:bCs w:val="0"/>
          <w:szCs w:val="28"/>
          <w:highlight w:val="white"/>
        </w:rPr>
      </w:r>
      <w:r>
        <w:rPr>
          <w:b w:val="0"/>
          <w:bCs w:val="0"/>
          <w:szCs w:val="28"/>
          <w:highlight w:val="white"/>
        </w:rPr>
      </w:r>
    </w:p>
    <w:p>
      <w:pPr>
        <w:pStyle w:val="1024"/>
        <w:ind w:firstLine="709"/>
        <w:jc w:val="both"/>
        <w:rPr>
          <w:b w:val="0"/>
          <w:bCs w:val="0"/>
        </w:rPr>
        <w:pBdr>
          <w:right w:val="none" w:color="000000" w:sz="4" w:space="2"/>
        </w:pBdr>
      </w:pPr>
      <w:r>
        <w:rPr>
          <w:b w:val="0"/>
          <w:bCs w:val="0"/>
          <w:szCs w:val="28"/>
          <w:highlight w:val="white"/>
        </w:rPr>
        <w:t xml:space="preserve">а) </w:t>
      </w:r>
      <w:r>
        <w:rPr>
          <w:b w:val="0"/>
          <w:bCs w:val="0"/>
          <w:szCs w:val="28"/>
          <w:highlight w:val="white"/>
        </w:rPr>
        <w:t xml:space="preserve">ГБУЗ НСО «НОКИБ» </w:t>
      </w:r>
      <w:r>
        <w:rPr>
          <w:b w:val="0"/>
          <w:bCs w:val="0"/>
          <w:szCs w:val="28"/>
          <w:highlight w:val="white"/>
        </w:rPr>
        <w:t xml:space="preserve">(</w:t>
      </w:r>
      <w:r>
        <w:rPr>
          <w:b w:val="0"/>
          <w:bCs w:val="0"/>
          <w:szCs w:val="28"/>
          <w:highlight w:val="white"/>
        </w:rPr>
        <w:t xml:space="preserve">по адресу</w:t>
      </w:r>
      <w:r>
        <w:rPr>
          <w:b w:val="0"/>
          <w:bCs w:val="0"/>
          <w:szCs w:val="28"/>
          <w:highlight w:val="white"/>
        </w:rPr>
        <w:t xml:space="preserve"> </w:t>
      </w:r>
      <w:r>
        <w:rPr>
          <w:b w:val="0"/>
          <w:bCs w:val="0"/>
          <w:szCs w:val="28"/>
          <w:highlight w:val="white"/>
        </w:rPr>
        <w:t xml:space="preserve">Vi</w:t>
      </w:r>
      <w:r>
        <w:rPr>
          <w:b w:val="0"/>
          <w:bCs w:val="0"/>
          <w:szCs w:val="28"/>
          <w:highlight w:val="white"/>
          <w:lang w:val="en-US"/>
        </w:rPr>
        <w:t xml:space="preserve">pN</w:t>
      </w:r>
      <w:r>
        <w:rPr>
          <w:b w:val="0"/>
          <w:bCs w:val="0"/>
          <w:szCs w:val="28"/>
          <w:highlight w:val="white"/>
        </w:rPr>
        <w:t xml:space="preserve">et</w:t>
      </w:r>
      <w:r>
        <w:rPr>
          <w:b w:val="0"/>
          <w:bCs w:val="0"/>
          <w:szCs w:val="28"/>
          <w:highlight w:val="white"/>
        </w:rPr>
        <w:t xml:space="preserve">: ГБУЗ НСО </w:t>
      </w:r>
      <w:r>
        <w:rPr>
          <w:b w:val="0"/>
          <w:bCs w:val="0"/>
          <w:szCs w:val="28"/>
        </w:rPr>
        <w:t xml:space="preserve">НОКИБ 1 сеть 3907</w:t>
      </w:r>
      <w:r>
        <w:rPr>
          <w:b w:val="0"/>
          <w:bCs w:val="0"/>
          <w:szCs w:val="28"/>
        </w:rPr>
        <w:t xml:space="preserve">)</w:t>
      </w:r>
      <w:r>
        <w:rPr>
          <w:b w:val="0"/>
          <w:bCs w:val="0"/>
          <w:szCs w:val="28"/>
        </w:rPr>
        <w:t xml:space="preserve"> по </w:t>
      </w:r>
      <w:r>
        <w:rPr>
          <w:b w:val="0"/>
          <w:bCs w:val="0"/>
          <w:szCs w:val="28"/>
          <w:highlight w:val="white"/>
        </w:rPr>
        <w:t xml:space="preserve">форме согласно приложению №</w:t>
      </w:r>
      <w:r>
        <w:rPr>
          <w:b w:val="0"/>
          <w:bCs w:val="0"/>
          <w:szCs w:val="28"/>
          <w:highlight w:val="white"/>
        </w:rPr>
        <w:t xml:space="preserve"> </w:t>
      </w:r>
      <w:r>
        <w:rPr>
          <w:b w:val="0"/>
          <w:bCs w:val="0"/>
          <w:szCs w:val="28"/>
          <w:highlight w:val="white"/>
        </w:rPr>
        <w:t xml:space="preserve">4 к настоящему приказу;</w:t>
      </w:r>
      <w:r>
        <w:rPr>
          <w:b w:val="0"/>
          <w:bCs w:val="0"/>
        </w:rPr>
      </w:r>
      <w:r>
        <w:rPr>
          <w:b w:val="0"/>
          <w:bCs w:val="0"/>
        </w:rPr>
      </w:r>
    </w:p>
    <w:p>
      <w:pPr>
        <w:pStyle w:val="1024"/>
        <w:ind w:firstLine="709"/>
        <w:jc w:val="both"/>
        <w:rPr>
          <w:b w:val="0"/>
          <w:bCs w:val="0"/>
          <w:szCs w:val="28"/>
          <w:highlight w:val="white"/>
        </w:rPr>
        <w:pBdr>
          <w:right w:val="none" w:color="000000" w:sz="4" w:space="2"/>
        </w:pBdr>
      </w:pPr>
      <w:r>
        <w:rPr>
          <w:b w:val="0"/>
          <w:bCs w:val="0"/>
          <w:szCs w:val="28"/>
          <w:highlight w:val="white"/>
        </w:rPr>
        <w:t xml:space="preserve">б) </w:t>
      </w:r>
      <w:r>
        <w:rPr>
          <w:b w:val="0"/>
          <w:bCs w:val="0"/>
          <w:szCs w:val="28"/>
          <w:highlight w:val="white"/>
        </w:rPr>
        <w:t xml:space="preserve">ГБУЗ НСО «ГОНКТБ» (</w:t>
      </w:r>
      <w:r>
        <w:rPr>
          <w:b w:val="0"/>
          <w:bCs w:val="0"/>
          <w:szCs w:val="28"/>
          <w:highlight w:val="white"/>
        </w:rPr>
        <w:t xml:space="preserve">по адресу</w:t>
      </w:r>
      <w:r>
        <w:rPr>
          <w:b w:val="0"/>
          <w:bCs w:val="0"/>
          <w:szCs w:val="28"/>
          <w:highlight w:val="white"/>
        </w:rPr>
        <w:t xml:space="preserve"> </w:t>
      </w:r>
      <w:r>
        <w:rPr>
          <w:b w:val="0"/>
          <w:bCs w:val="0"/>
          <w:szCs w:val="28"/>
          <w:highlight w:val="white"/>
        </w:rPr>
        <w:t xml:space="preserve">Vi</w:t>
      </w:r>
      <w:r>
        <w:rPr>
          <w:b w:val="0"/>
          <w:bCs w:val="0"/>
          <w:szCs w:val="28"/>
          <w:highlight w:val="white"/>
          <w:lang w:val="en-US"/>
        </w:rPr>
        <w:t xml:space="preserve">pN</w:t>
      </w:r>
      <w:r>
        <w:rPr>
          <w:b w:val="0"/>
          <w:bCs w:val="0"/>
          <w:szCs w:val="28"/>
          <w:highlight w:val="white"/>
        </w:rPr>
        <w:t xml:space="preserve">et</w:t>
      </w:r>
      <w:r>
        <w:rPr>
          <w:b w:val="0"/>
          <w:bCs w:val="0"/>
          <w:szCs w:val="28"/>
          <w:highlight w:val="white"/>
        </w:rPr>
        <w:t xml:space="preserve">: ГБУЗ НСО ГОНКТБ 83) по форме согласно</w:t>
      </w:r>
      <w:r>
        <w:rPr>
          <w:b w:val="0"/>
          <w:bCs w:val="0"/>
          <w:szCs w:val="28"/>
        </w:rPr>
        <w:t xml:space="preserve"> п</w:t>
      </w:r>
      <w:r>
        <w:rPr>
          <w:b w:val="0"/>
          <w:bCs w:val="0"/>
          <w:szCs w:val="28"/>
          <w:highlight w:val="white"/>
        </w:rPr>
        <w:t xml:space="preserve">риложению №</w:t>
      </w:r>
      <w:r>
        <w:rPr>
          <w:b w:val="0"/>
          <w:bCs w:val="0"/>
          <w:szCs w:val="28"/>
          <w:highlight w:val="white"/>
        </w:rPr>
        <w:t xml:space="preserve"> </w:t>
      </w:r>
      <w:r>
        <w:rPr>
          <w:b w:val="0"/>
          <w:bCs w:val="0"/>
          <w:szCs w:val="28"/>
        </w:rPr>
        <w:t xml:space="preserve">5;</w:t>
      </w:r>
      <w:r>
        <w:rPr>
          <w:b w:val="0"/>
          <w:bCs w:val="0"/>
          <w:szCs w:val="28"/>
          <w:highlight w:val="white"/>
        </w:rPr>
      </w:r>
      <w:r>
        <w:rPr>
          <w:b w:val="0"/>
          <w:bCs w:val="0"/>
          <w:szCs w:val="28"/>
          <w:highlight w:val="white"/>
        </w:rPr>
      </w:r>
    </w:p>
    <w:p>
      <w:pPr>
        <w:pStyle w:val="1024"/>
        <w:ind w:firstLine="709"/>
        <w:jc w:val="both"/>
        <w:rPr>
          <w:b w:val="0"/>
          <w:bCs w:val="0"/>
          <w:szCs w:val="28"/>
          <w:highlight w:val="white"/>
        </w:rPr>
        <w:pBdr>
          <w:right w:val="none" w:color="000000" w:sz="4" w:space="2"/>
        </w:pBdr>
      </w:pPr>
      <w:r>
        <w:rPr>
          <w:b w:val="0"/>
          <w:bCs w:val="0"/>
          <w:szCs w:val="28"/>
          <w:highlight w:val="white"/>
        </w:rPr>
        <w:t xml:space="preserve">в) </w:t>
      </w:r>
      <w:r>
        <w:rPr>
          <w:b w:val="0"/>
          <w:bCs w:val="0"/>
          <w:szCs w:val="28"/>
          <w:highlight w:val="white"/>
        </w:rPr>
        <w:t xml:space="preserve">ГБУЗ НСО «НОККВД» (</w:t>
      </w:r>
      <w:r>
        <w:rPr>
          <w:b w:val="0"/>
          <w:bCs w:val="0"/>
          <w:szCs w:val="28"/>
          <w:highlight w:val="white"/>
        </w:rPr>
        <w:t xml:space="preserve">по адресу</w:t>
      </w:r>
      <w:r>
        <w:rPr>
          <w:highlight w:val="white"/>
        </w:rPr>
        <w:t xml:space="preserve"> </w:t>
      </w:r>
      <w:r>
        <w:rPr>
          <w:b w:val="0"/>
          <w:bCs w:val="0"/>
          <w:szCs w:val="28"/>
          <w:highlight w:val="white"/>
        </w:rPr>
        <w:t xml:space="preserve">Vi</w:t>
      </w:r>
      <w:r>
        <w:rPr>
          <w:b w:val="0"/>
          <w:bCs w:val="0"/>
          <w:szCs w:val="28"/>
          <w:highlight w:val="white"/>
          <w:lang w:val="en-US"/>
        </w:rPr>
        <w:t xml:space="preserve">pN</w:t>
      </w:r>
      <w:r>
        <w:rPr>
          <w:b w:val="0"/>
          <w:bCs w:val="0"/>
          <w:szCs w:val="28"/>
          <w:highlight w:val="white"/>
        </w:rPr>
        <w:t xml:space="preserve">et</w:t>
      </w:r>
      <w:r>
        <w:rPr>
          <w:b w:val="0"/>
          <w:bCs w:val="0"/>
          <w:szCs w:val="28"/>
          <w:highlight w:val="white"/>
        </w:rPr>
        <w:t xml:space="preserve">: ГБУЗ НСО НО</w:t>
      </w:r>
      <w:r>
        <w:rPr>
          <w:b w:val="0"/>
          <w:bCs w:val="0"/>
          <w:szCs w:val="28"/>
          <w:highlight w:val="white"/>
        </w:rPr>
        <w:t xml:space="preserve">К</w:t>
      </w:r>
      <w:r>
        <w:rPr>
          <w:b w:val="0"/>
          <w:bCs w:val="0"/>
          <w:szCs w:val="28"/>
          <w:highlight w:val="white"/>
        </w:rPr>
        <w:t xml:space="preserve">КВД 69 или ГБУЗ НСО НО</w:t>
      </w:r>
      <w:r>
        <w:rPr>
          <w:b w:val="0"/>
          <w:bCs w:val="0"/>
          <w:szCs w:val="28"/>
          <w:highlight w:val="white"/>
        </w:rPr>
        <w:t xml:space="preserve">ККВД 74) </w:t>
      </w:r>
      <w:r>
        <w:rPr>
          <w:b w:val="0"/>
          <w:bCs w:val="0"/>
          <w:szCs w:val="28"/>
          <w:highlight w:val="white"/>
        </w:rPr>
        <w:t xml:space="preserve">по форме </w:t>
      </w:r>
      <w:r>
        <w:rPr>
          <w:b w:val="0"/>
          <w:bCs w:val="0"/>
          <w:szCs w:val="28"/>
          <w:highlight w:val="white"/>
        </w:rPr>
        <w:t xml:space="preserve">согласно </w:t>
      </w:r>
      <w:r>
        <w:rPr>
          <w:b w:val="0"/>
          <w:bCs w:val="0"/>
          <w:szCs w:val="28"/>
          <w:highlight w:val="white"/>
        </w:rPr>
        <w:t xml:space="preserve">приложени</w:t>
      </w:r>
      <w:r>
        <w:rPr>
          <w:b w:val="0"/>
          <w:bCs w:val="0"/>
          <w:szCs w:val="28"/>
          <w:highlight w:val="white"/>
        </w:rPr>
        <w:t xml:space="preserve">ю</w:t>
      </w:r>
      <w:r>
        <w:rPr>
          <w:b w:val="0"/>
          <w:bCs w:val="0"/>
          <w:szCs w:val="28"/>
          <w:highlight w:val="white"/>
        </w:rPr>
        <w:t xml:space="preserve"> №</w:t>
      </w:r>
      <w:r>
        <w:rPr>
          <w:b w:val="0"/>
          <w:bCs w:val="0"/>
          <w:szCs w:val="28"/>
          <w:highlight w:val="white"/>
        </w:rPr>
        <w:t xml:space="preserve"> </w:t>
      </w:r>
      <w:r>
        <w:rPr>
          <w:b w:val="0"/>
          <w:bCs w:val="0"/>
          <w:szCs w:val="28"/>
          <w:highlight w:val="white"/>
        </w:rPr>
        <w:t xml:space="preserve">6 к настоящему приказу;</w:t>
      </w:r>
      <w:r>
        <w:rPr>
          <w:b w:val="0"/>
          <w:bCs w:val="0"/>
          <w:szCs w:val="28"/>
          <w:highlight w:val="white"/>
        </w:rPr>
      </w:r>
      <w:r>
        <w:rPr>
          <w:b w:val="0"/>
          <w:bCs w:val="0"/>
          <w:szCs w:val="28"/>
          <w:highlight w:val="white"/>
        </w:rPr>
      </w:r>
    </w:p>
    <w:p>
      <w:pPr>
        <w:pStyle w:val="1024"/>
        <w:ind w:firstLine="709"/>
        <w:jc w:val="both"/>
        <w:rPr>
          <w:b w:val="0"/>
          <w:bCs w:val="0"/>
          <w:szCs w:val="28"/>
          <w:highlight w:val="white"/>
        </w:rPr>
        <w:pBdr>
          <w:right w:val="none" w:color="000000" w:sz="4" w:space="2"/>
        </w:pBdr>
      </w:pPr>
      <w:r>
        <w:rPr>
          <w:b w:val="0"/>
          <w:bCs w:val="0"/>
          <w:szCs w:val="28"/>
          <w:highlight w:val="white"/>
        </w:rPr>
        <w:t xml:space="preserve">10) обеспечить направление Сигнального извещения по утвержденной форме в случае неявки иностранного гражданина на дополнительное обследование в целях подтверждения или исключения </w:t>
      </w:r>
      <w:r>
        <w:rPr>
          <w:b w:val="0"/>
          <w:bCs w:val="0"/>
          <w:szCs w:val="28"/>
          <w:highlight w:val="white"/>
        </w:rPr>
        <w:t xml:space="preserve">диагноза туберкулеза, сифилиса, лепры в течение 30 дней с </w:t>
      </w:r>
      <w:r>
        <w:rPr>
          <w:b w:val="0"/>
          <w:bCs w:val="0"/>
          <w:szCs w:val="28"/>
          <w:highlight w:val="white"/>
        </w:rPr>
        <w:t xml:space="preserve">даты</w:t>
      </w:r>
      <w:r>
        <w:rPr>
          <w:b w:val="0"/>
          <w:bCs w:val="0"/>
          <w:szCs w:val="28"/>
          <w:highlight w:val="white"/>
        </w:rPr>
        <w:t xml:space="preserve"> выдачи направления в:</w:t>
      </w:r>
      <w:r>
        <w:rPr>
          <w:b w:val="0"/>
          <w:bCs w:val="0"/>
          <w:szCs w:val="28"/>
          <w:highlight w:val="white"/>
        </w:rPr>
      </w:r>
      <w:r>
        <w:rPr>
          <w:b w:val="0"/>
          <w:bCs w:val="0"/>
          <w:szCs w:val="28"/>
          <w:highlight w:val="white"/>
        </w:rPr>
      </w:r>
    </w:p>
    <w:p>
      <w:pPr>
        <w:ind w:firstLine="720"/>
        <w:jc w:val="both"/>
        <w:tabs>
          <w:tab w:val="left" w:pos="3705" w:leader="none"/>
        </w:tabs>
        <w:rPr>
          <w:color w:val="000000" w:themeColor="text1"/>
          <w:sz w:val="28"/>
          <w:szCs w:val="28"/>
          <w:highlight w:val="white"/>
        </w:rPr>
      </w:pPr>
      <w:r>
        <w:rPr>
          <w:sz w:val="28"/>
          <w:szCs w:val="28"/>
        </w:rPr>
        <w:t xml:space="preserve">а) </w:t>
      </w:r>
      <w:r>
        <w:rPr>
          <w:sz w:val="28"/>
          <w:szCs w:val="28"/>
        </w:rPr>
        <w:t xml:space="preserve">Управление Федеральной службы по надзору в сфере защиты прав потребителей и благополучия человека по Новосибирской области (далее - </w:t>
      </w:r>
      <w:r>
        <w:rPr>
          <w:sz w:val="28"/>
          <w:szCs w:val="28"/>
          <w:highlight w:val="white"/>
        </w:rPr>
        <w:t xml:space="preserve">Управление </w:t>
      </w:r>
      <w:r>
        <w:rPr>
          <w:sz w:val="28"/>
          <w:szCs w:val="28"/>
          <w:highlight w:val="white"/>
        </w:rPr>
        <w:t xml:space="preserve">Роспотребнадзора</w:t>
      </w:r>
      <w:r>
        <w:rPr>
          <w:sz w:val="28"/>
          <w:szCs w:val="28"/>
          <w:highlight w:val="white"/>
        </w:rPr>
        <w:t xml:space="preserve"> </w:t>
      </w:r>
      <w:r>
        <w:rPr>
          <w:sz w:val="28"/>
          <w:szCs w:val="28"/>
          <w:highlight w:val="white"/>
        </w:rPr>
        <w:t xml:space="preserve">НСО</w:t>
      </w:r>
      <w:r>
        <w:rPr>
          <w:sz w:val="28"/>
          <w:szCs w:val="28"/>
          <w:highlight w:val="white"/>
        </w:rPr>
        <w:t xml:space="preserve">)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</w:t>
      </w:r>
      <w:r>
        <w:rPr>
          <w:sz w:val="28"/>
          <w:szCs w:val="28"/>
        </w:rPr>
        <w:t xml:space="preserve">на адрес </w:t>
      </w:r>
      <w:r>
        <w:rPr>
          <w:sz w:val="28"/>
          <w:szCs w:val="28"/>
          <w:highlight w:val="white"/>
        </w:rPr>
        <w:t xml:space="preserve">Vi</w:t>
      </w:r>
      <w:r>
        <w:rPr>
          <w:sz w:val="28"/>
          <w:szCs w:val="28"/>
          <w:highlight w:val="white"/>
          <w:lang w:val="en-US"/>
        </w:rPr>
        <w:t xml:space="preserve">pN</w:t>
      </w:r>
      <w:r>
        <w:rPr>
          <w:sz w:val="28"/>
          <w:szCs w:val="28"/>
          <w:highlight w:val="white"/>
        </w:rPr>
        <w:t xml:space="preserve">et</w:t>
      </w:r>
      <w:r>
        <w:rPr>
          <w:sz w:val="28"/>
          <w:szCs w:val="28"/>
          <w:highlight w:val="white"/>
        </w:rPr>
        <w:t xml:space="preserve">: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Роспотр</w:t>
      </w:r>
      <w:r>
        <w:rPr>
          <w:color w:val="000000" w:themeColor="text1"/>
          <w:sz w:val="28"/>
          <w:szCs w:val="28"/>
          <w:highlight w:val="white"/>
        </w:rPr>
        <w:t xml:space="preserve">ебнадзор</w:t>
      </w:r>
      <w:r>
        <w:rPr>
          <w:color w:val="000000" w:themeColor="text1"/>
          <w:sz w:val="28"/>
          <w:szCs w:val="28"/>
          <w:highlight w:val="white"/>
        </w:rPr>
        <w:t xml:space="preserve"> НСО Канцелярия 2.1660</w:t>
      </w:r>
      <w:r>
        <w:rPr>
          <w:color w:val="000000" w:themeColor="text1"/>
          <w:sz w:val="28"/>
          <w:szCs w:val="28"/>
          <w:highlight w:val="white"/>
        </w:rPr>
        <w:t xml:space="preserve">)</w:t>
      </w:r>
      <w:r>
        <w:rPr>
          <w:color w:val="000000" w:themeColor="text1"/>
          <w:sz w:val="28"/>
          <w:szCs w:val="28"/>
          <w:highlight w:val="white"/>
        </w:rPr>
        <w:t xml:space="preserve">; </w:t>
      </w:r>
      <w:r>
        <w:rPr>
          <w:color w:val="000000" w:themeColor="text1"/>
          <w:sz w:val="28"/>
          <w:szCs w:val="28"/>
          <w:highlight w:val="white"/>
        </w:rPr>
      </w:r>
      <w:r>
        <w:rPr>
          <w:color w:val="000000" w:themeColor="text1"/>
          <w:sz w:val="28"/>
          <w:szCs w:val="28"/>
          <w:highlight w:val="white"/>
        </w:rPr>
      </w:r>
    </w:p>
    <w:p>
      <w:pPr>
        <w:pStyle w:val="1024"/>
        <w:ind w:firstLine="709"/>
        <w:jc w:val="both"/>
        <w:rPr>
          <w:b w:val="0"/>
          <w:bCs w:val="0"/>
          <w:color w:val="000000" w:themeColor="text1"/>
          <w:szCs w:val="28"/>
          <w:highlight w:val="white"/>
        </w:rPr>
        <w:pBdr>
          <w:right w:val="none" w:color="000000" w:sz="4" w:space="2"/>
        </w:pBdr>
      </w:pPr>
      <w:r>
        <w:rPr>
          <w:b w:val="0"/>
          <w:bCs w:val="0"/>
          <w:color w:val="000000" w:themeColor="text1"/>
          <w:szCs w:val="28"/>
          <w:highlight w:val="white"/>
        </w:rPr>
        <w:t xml:space="preserve">б) </w:t>
      </w:r>
      <w:r>
        <w:rPr>
          <w:b w:val="0"/>
          <w:bCs w:val="0"/>
          <w:color w:val="000000" w:themeColor="text1"/>
          <w:szCs w:val="28"/>
          <w:highlight w:val="white"/>
        </w:rPr>
        <w:t xml:space="preserve">Управление по вопросам миграции </w:t>
      </w:r>
      <w:r>
        <w:rPr>
          <w:b w:val="0"/>
          <w:bCs w:val="0"/>
          <w:color w:val="000000" w:themeColor="text1"/>
          <w:szCs w:val="28"/>
          <w:highlight w:val="white"/>
        </w:rPr>
        <w:t xml:space="preserve">Г</w:t>
      </w:r>
      <w:r>
        <w:rPr>
          <w:b w:val="0"/>
          <w:bCs w:val="0"/>
          <w:color w:val="000000" w:themeColor="text1"/>
          <w:szCs w:val="28"/>
          <w:highlight w:val="white"/>
        </w:rPr>
        <w:t xml:space="preserve">лавного управления Министерства внутренних дел Российской Федерации по Новосибирской области </w:t>
      </w:r>
      <w:r>
        <w:rPr>
          <w:b w:val="0"/>
          <w:bCs w:val="0"/>
          <w:color w:val="000000" w:themeColor="text1"/>
          <w:szCs w:val="28"/>
          <w:highlight w:val="white"/>
        </w:rPr>
        <w:t xml:space="preserve">(далее – Управление по вопросам миграции </w:t>
      </w:r>
      <w:r>
        <w:rPr>
          <w:b w:val="0"/>
          <w:bCs w:val="0"/>
          <w:color w:val="000000" w:themeColor="text1"/>
          <w:szCs w:val="28"/>
          <w:highlight w:val="white"/>
        </w:rPr>
        <w:t xml:space="preserve">НСО</w:t>
      </w:r>
      <w:r>
        <w:rPr>
          <w:b w:val="0"/>
          <w:bCs w:val="0"/>
          <w:color w:val="000000" w:themeColor="text1"/>
          <w:szCs w:val="28"/>
          <w:highlight w:val="white"/>
        </w:rPr>
        <w:t xml:space="preserve">) </w:t>
      </w:r>
      <w:r>
        <w:rPr>
          <w:b w:val="0"/>
          <w:bCs w:val="0"/>
          <w:color w:val="000000" w:themeColor="text1"/>
          <w:szCs w:val="28"/>
          <w:highlight w:val="white"/>
        </w:rPr>
        <w:t xml:space="preserve">с</w:t>
      </w:r>
      <w:r>
        <w:rPr>
          <w:b w:val="0"/>
          <w:bCs w:val="0"/>
          <w:color w:val="000000" w:themeColor="text1"/>
          <w:szCs w:val="28"/>
          <w:highlight w:val="white"/>
        </w:rPr>
        <w:t xml:space="preserve"> </w:t>
      </w:r>
      <w:r>
        <w:rPr>
          <w:b w:val="0"/>
          <w:bCs w:val="0"/>
          <w:color w:val="000000" w:themeColor="text1"/>
          <w:szCs w:val="28"/>
          <w:highlight w:val="white"/>
        </w:rPr>
        <w:t xml:space="preserve">пометкой «подозрение на заболевание, уклонение от </w:t>
      </w:r>
      <w:r>
        <w:rPr>
          <w:b w:val="0"/>
          <w:bCs w:val="0"/>
          <w:color w:val="000000" w:themeColor="text1"/>
          <w:szCs w:val="28"/>
          <w:highlight w:val="white"/>
        </w:rPr>
        <w:t xml:space="preserve">дообследования</w:t>
      </w:r>
      <w:r>
        <w:rPr>
          <w:b w:val="0"/>
          <w:bCs w:val="0"/>
          <w:color w:val="000000" w:themeColor="text1"/>
          <w:szCs w:val="28"/>
          <w:highlight w:val="white"/>
        </w:rPr>
        <w:t xml:space="preserve">» (нарочно);</w:t>
      </w:r>
      <w:r>
        <w:rPr>
          <w:b w:val="0"/>
          <w:bCs w:val="0"/>
          <w:color w:val="000000" w:themeColor="text1"/>
          <w:szCs w:val="28"/>
          <w:highlight w:val="white"/>
        </w:rPr>
      </w:r>
      <w:r>
        <w:rPr>
          <w:b w:val="0"/>
          <w:bCs w:val="0"/>
          <w:color w:val="000000" w:themeColor="text1"/>
          <w:szCs w:val="28"/>
          <w:highlight w:val="white"/>
        </w:rPr>
      </w:r>
    </w:p>
    <w:p>
      <w:pPr>
        <w:pStyle w:val="1024"/>
        <w:ind w:firstLine="709"/>
        <w:jc w:val="both"/>
        <w:rPr>
          <w:b w:val="0"/>
          <w:bCs w:val="0"/>
          <w:szCs w:val="28"/>
        </w:rPr>
        <w:pBdr>
          <w:right w:val="none" w:color="000000" w:sz="4" w:space="2"/>
        </w:pBdr>
      </w:pPr>
      <w:r>
        <w:rPr>
          <w:b w:val="0"/>
          <w:bCs w:val="0"/>
          <w:color w:val="000000" w:themeColor="text1"/>
          <w:szCs w:val="28"/>
          <w:highlight w:val="white"/>
        </w:rPr>
        <w:t xml:space="preserve">11) обеспечить ежемесячно</w:t>
      </w:r>
      <w:r>
        <w:rPr>
          <w:b w:val="0"/>
          <w:bCs w:val="0"/>
          <w:color w:val="000000" w:themeColor="text1"/>
          <w:szCs w:val="28"/>
          <w:highlight w:val="white"/>
        </w:rPr>
        <w:t xml:space="preserve">,</w:t>
      </w:r>
      <w:r>
        <w:rPr>
          <w:b w:val="0"/>
          <w:bCs w:val="0"/>
          <w:color w:val="000000" w:themeColor="text1"/>
          <w:szCs w:val="28"/>
          <w:highlight w:val="white"/>
        </w:rPr>
        <w:t xml:space="preserve"> не позднее 25 числа отчетного месяца</w:t>
      </w:r>
      <w:r>
        <w:rPr>
          <w:b w:val="0"/>
          <w:bCs w:val="0"/>
          <w:color w:val="000000" w:themeColor="text1"/>
          <w:szCs w:val="28"/>
          <w:highlight w:val="white"/>
        </w:rPr>
        <w:t xml:space="preserve">,</w:t>
      </w:r>
      <w:r>
        <w:rPr>
          <w:b w:val="0"/>
          <w:bCs w:val="0"/>
          <w:color w:val="000000" w:themeColor="text1"/>
          <w:szCs w:val="28"/>
          <w:highlight w:val="white"/>
        </w:rPr>
        <w:t xml:space="preserve"> заполнени</w:t>
      </w:r>
      <w:r>
        <w:rPr>
          <w:b w:val="0"/>
          <w:bCs w:val="0"/>
          <w:color w:val="000000" w:themeColor="text1"/>
          <w:szCs w:val="28"/>
          <w:highlight w:val="white"/>
        </w:rPr>
        <w:t xml:space="preserve">е</w:t>
      </w:r>
      <w:r>
        <w:rPr>
          <w:b w:val="0"/>
          <w:bCs w:val="0"/>
          <w:color w:val="000000" w:themeColor="text1"/>
          <w:szCs w:val="28"/>
          <w:highlight w:val="white"/>
        </w:rPr>
        <w:t xml:space="preserve"> в компоненте Единой государственной информационной системы здравоохранения Новосибирской области «Мониторинг и реализация </w:t>
      </w:r>
      <w:r>
        <w:rPr>
          <w:b w:val="0"/>
          <w:bCs w:val="0"/>
          <w:szCs w:val="28"/>
        </w:rPr>
        <w:t xml:space="preserve">программ здравоохранения» (http://svod.egisz№so.ru/, форма «</w:t>
      </w:r>
      <w:r>
        <w:rPr>
          <w:b w:val="0"/>
          <w:bCs w:val="0"/>
          <w:szCs w:val="28"/>
        </w:rPr>
        <w:t xml:space="preserve">Иностранные_граждане</w:t>
      </w:r>
      <w:r>
        <w:rPr>
          <w:b w:val="0"/>
          <w:bCs w:val="0"/>
          <w:szCs w:val="28"/>
        </w:rPr>
        <w:t xml:space="preserve">») отчета об иностранных гражданах, прошедших медицинское освидетельствование, по форме согласно приложению № 7 к настоящему приказу.</w:t>
      </w:r>
      <w:r>
        <w:rPr>
          <w:b w:val="0"/>
          <w:bCs w:val="0"/>
          <w:szCs w:val="28"/>
        </w:rPr>
      </w:r>
      <w:r>
        <w:rPr>
          <w:b w:val="0"/>
          <w:bCs w:val="0"/>
          <w:szCs w:val="28"/>
        </w:rPr>
      </w:r>
    </w:p>
    <w:p>
      <w:pPr>
        <w:pStyle w:val="1024"/>
        <w:ind w:firstLine="709"/>
        <w:jc w:val="both"/>
        <w:rPr>
          <w:b w:val="0"/>
          <w:bCs w:val="0"/>
          <w:szCs w:val="28"/>
          <w:highlight w:val="yellow"/>
        </w:rPr>
        <w:pBdr>
          <w:right w:val="none" w:color="000000" w:sz="4" w:space="2"/>
        </w:pBdr>
      </w:pPr>
      <w:r>
        <w:rPr>
          <w:b w:val="0"/>
          <w:bCs w:val="0"/>
          <w:szCs w:val="28"/>
        </w:rPr>
        <w:t xml:space="preserve">3. Главным врачам ГБУЗ НСО «ГОНКТБ», ГБУЗ НСО «НОККВД», </w:t>
      </w:r>
      <w:r>
        <w:rPr>
          <w:b w:val="0"/>
          <w:bCs w:val="0"/>
          <w:szCs w:val="28"/>
          <w:highlight w:val="white"/>
        </w:rPr>
        <w:t xml:space="preserve">ГБУЗ НСО «НОКИБ»</w:t>
      </w:r>
      <w:r>
        <w:rPr>
          <w:b w:val="0"/>
          <w:bCs w:val="0"/>
          <w:szCs w:val="28"/>
        </w:rPr>
        <w:t xml:space="preserve">:</w:t>
      </w:r>
      <w:r>
        <w:rPr>
          <w:b w:val="0"/>
          <w:bCs w:val="0"/>
          <w:szCs w:val="28"/>
          <w:highlight w:val="yellow"/>
        </w:rPr>
      </w:r>
      <w:r>
        <w:rPr>
          <w:b w:val="0"/>
          <w:bCs w:val="0"/>
          <w:szCs w:val="28"/>
          <w:highlight w:val="yellow"/>
        </w:rPr>
      </w:r>
    </w:p>
    <w:p>
      <w:pPr>
        <w:pStyle w:val="1024"/>
        <w:ind w:firstLine="709"/>
        <w:jc w:val="both"/>
        <w:rPr>
          <w:b w:val="0"/>
          <w:bCs w:val="0"/>
          <w:szCs w:val="28"/>
        </w:rPr>
        <w:pBdr>
          <w:right w:val="none" w:color="000000" w:sz="4" w:space="2"/>
        </w:pBdr>
      </w:pPr>
      <w:r>
        <w:rPr>
          <w:b w:val="0"/>
          <w:bCs w:val="0"/>
          <w:szCs w:val="28"/>
        </w:rPr>
        <w:t xml:space="preserve">1)</w:t>
      </w:r>
      <w:r>
        <w:t xml:space="preserve"> </w:t>
      </w:r>
      <w:r>
        <w:rPr>
          <w:b w:val="0"/>
          <w:bCs w:val="0"/>
          <w:szCs w:val="28"/>
        </w:rPr>
        <w:t xml:space="preserve">назначить лиц, ответственных за </w:t>
      </w:r>
      <w:r>
        <w:rPr>
          <w:b w:val="0"/>
          <w:bCs w:val="0"/>
          <w:szCs w:val="28"/>
        </w:rPr>
        <w:t xml:space="preserve">дообследование</w:t>
      </w:r>
      <w:r>
        <w:rPr>
          <w:b w:val="0"/>
          <w:bCs w:val="0"/>
          <w:szCs w:val="28"/>
        </w:rPr>
        <w:t xml:space="preserve"> иностранного гражданина и лица без гражданства в случае подозрения на инфекционную болезнь, ведение документации и формирование отчетности;</w:t>
      </w:r>
      <w:r>
        <w:rPr>
          <w:b w:val="0"/>
          <w:bCs w:val="0"/>
          <w:szCs w:val="28"/>
        </w:rPr>
      </w:r>
      <w:r>
        <w:rPr>
          <w:b w:val="0"/>
          <w:bCs w:val="0"/>
          <w:szCs w:val="28"/>
        </w:rPr>
      </w:r>
    </w:p>
    <w:p>
      <w:pPr>
        <w:pStyle w:val="1024"/>
        <w:ind w:firstLine="709"/>
        <w:jc w:val="both"/>
        <w:rPr>
          <w:b w:val="0"/>
          <w:bCs w:val="0"/>
          <w:szCs w:val="28"/>
        </w:rPr>
        <w:pBdr>
          <w:right w:val="none" w:color="000000" w:sz="4" w:space="2"/>
        </w:pBdr>
      </w:pPr>
      <w:r>
        <w:rPr>
          <w:b w:val="0"/>
          <w:bCs w:val="0"/>
          <w:szCs w:val="28"/>
        </w:rPr>
        <w:t xml:space="preserve">2) </w:t>
      </w:r>
      <w:r>
        <w:rPr>
          <w:b w:val="0"/>
          <w:bCs w:val="0"/>
          <w:szCs w:val="28"/>
        </w:rPr>
        <w:t xml:space="preserve">обеспечить </w:t>
      </w:r>
      <w:r>
        <w:rPr>
          <w:b w:val="0"/>
          <w:bCs w:val="0"/>
          <w:szCs w:val="28"/>
        </w:rPr>
        <w:t xml:space="preserve">в течение 30 дней </w:t>
      </w:r>
      <w:r>
        <w:rPr>
          <w:b w:val="0"/>
          <w:bCs w:val="0"/>
          <w:szCs w:val="28"/>
        </w:rPr>
        <w:t xml:space="preserve">информирование</w:t>
      </w:r>
      <w:r>
        <w:rPr>
          <w:b w:val="0"/>
          <w:bCs w:val="0"/>
          <w:szCs w:val="28"/>
        </w:rPr>
        <w:t xml:space="preserve"> медицинской организации, направившей на </w:t>
      </w:r>
      <w:r>
        <w:rPr>
          <w:b w:val="0"/>
          <w:bCs w:val="0"/>
          <w:szCs w:val="28"/>
        </w:rPr>
        <w:t xml:space="preserve">дообследование</w:t>
      </w:r>
      <w:r>
        <w:rPr>
          <w:b w:val="0"/>
          <w:bCs w:val="0"/>
          <w:szCs w:val="28"/>
        </w:rPr>
        <w:t xml:space="preserve"> иностранных граждан и лиц без гражданства, проходивших медицинское освидетельствование, по форме согласно </w:t>
      </w:r>
      <w:r>
        <w:rPr>
          <w:b w:val="0"/>
          <w:bCs w:val="0"/>
          <w:szCs w:val="28"/>
          <w:highlight w:val="white"/>
        </w:rPr>
        <w:t xml:space="preserve">приложени</w:t>
      </w:r>
      <w:r>
        <w:rPr>
          <w:b w:val="0"/>
          <w:bCs w:val="0"/>
          <w:szCs w:val="28"/>
          <w:highlight w:val="white"/>
        </w:rPr>
        <w:t xml:space="preserve">ям</w:t>
      </w:r>
      <w:r>
        <w:rPr>
          <w:b w:val="0"/>
          <w:bCs w:val="0"/>
          <w:szCs w:val="28"/>
          <w:highlight w:val="white"/>
        </w:rPr>
        <w:t xml:space="preserve"> № 4, 5, 6 к</w:t>
      </w:r>
      <w:r>
        <w:rPr>
          <w:b w:val="0"/>
          <w:bCs w:val="0"/>
          <w:szCs w:val="28"/>
        </w:rPr>
        <w:t xml:space="preserve"> настоящему прика</w:t>
      </w:r>
      <w:r>
        <w:rPr>
          <w:b w:val="0"/>
          <w:bCs w:val="0"/>
          <w:szCs w:val="28"/>
          <w:highlight w:val="white"/>
        </w:rPr>
        <w:t xml:space="preserve">зу;</w:t>
      </w:r>
      <w:r>
        <w:rPr>
          <w:b w:val="0"/>
          <w:bCs w:val="0"/>
          <w:szCs w:val="28"/>
        </w:rPr>
      </w:r>
      <w:r>
        <w:rPr>
          <w:b w:val="0"/>
          <w:bCs w:val="0"/>
          <w:szCs w:val="28"/>
        </w:rPr>
      </w:r>
    </w:p>
    <w:p>
      <w:pPr>
        <w:pStyle w:val="1024"/>
        <w:ind w:firstLine="709"/>
        <w:jc w:val="both"/>
        <w:rPr>
          <w:b w:val="0"/>
          <w:bCs w:val="0"/>
          <w:szCs w:val="28"/>
        </w:rPr>
        <w:pBdr>
          <w:right w:val="none" w:color="000000" w:sz="4" w:space="2"/>
        </w:pBdr>
      </w:pPr>
      <w:r>
        <w:rPr>
          <w:b w:val="0"/>
          <w:bCs w:val="0"/>
          <w:szCs w:val="28"/>
        </w:rPr>
        <w:t xml:space="preserve">3) обеспечить направление в оперативном порядке в случае подтверждения инфекционного заболевания в течение 5 рабочих дней с даты установления диагноза в:</w:t>
      </w:r>
      <w:r>
        <w:rPr>
          <w:b w:val="0"/>
          <w:bCs w:val="0"/>
          <w:szCs w:val="28"/>
        </w:rPr>
      </w:r>
      <w:r>
        <w:rPr>
          <w:b w:val="0"/>
          <w:bCs w:val="0"/>
          <w:szCs w:val="28"/>
        </w:rPr>
      </w:r>
    </w:p>
    <w:p>
      <w:pPr>
        <w:pStyle w:val="1024"/>
        <w:ind w:firstLine="709"/>
        <w:jc w:val="both"/>
        <w:rPr>
          <w:b w:val="0"/>
          <w:bCs w:val="0"/>
          <w:szCs w:val="28"/>
        </w:rPr>
        <w:pBdr>
          <w:right w:val="none" w:color="000000" w:sz="4" w:space="2"/>
        </w:pBdr>
      </w:pPr>
      <w:r>
        <w:rPr>
          <w:b w:val="0"/>
          <w:bCs w:val="0"/>
          <w:szCs w:val="28"/>
        </w:rPr>
        <w:t xml:space="preserve">а) </w:t>
      </w:r>
      <w:r>
        <w:rPr>
          <w:b w:val="0"/>
          <w:bCs w:val="0"/>
          <w:color w:val="000000" w:themeColor="text1"/>
          <w:szCs w:val="28"/>
        </w:rPr>
        <w:t xml:space="preserve">Управление по вопросам миграции </w:t>
      </w:r>
      <w:r>
        <w:rPr>
          <w:b w:val="0"/>
          <w:bCs w:val="0"/>
          <w:color w:val="000000" w:themeColor="text1"/>
          <w:szCs w:val="28"/>
        </w:rPr>
        <w:t xml:space="preserve">НСО</w:t>
      </w:r>
      <w:r>
        <w:rPr>
          <w:b w:val="0"/>
          <w:bCs w:val="0"/>
          <w:szCs w:val="28"/>
        </w:rPr>
        <w:t xml:space="preserve"> Сигнального извещения;</w:t>
      </w:r>
      <w:r>
        <w:rPr>
          <w:b w:val="0"/>
          <w:bCs w:val="0"/>
          <w:szCs w:val="28"/>
        </w:rPr>
      </w:r>
      <w:r>
        <w:rPr>
          <w:b w:val="0"/>
          <w:bCs w:val="0"/>
          <w:szCs w:val="28"/>
        </w:rPr>
      </w:r>
    </w:p>
    <w:p>
      <w:pPr>
        <w:pStyle w:val="1024"/>
        <w:ind w:firstLine="709"/>
        <w:jc w:val="both"/>
        <w:rPr>
          <w:b w:val="0"/>
          <w:bCs w:val="0"/>
          <w:szCs w:val="28"/>
        </w:rPr>
        <w:pBdr>
          <w:right w:val="none" w:color="000000" w:sz="4" w:space="2"/>
        </w:pBdr>
      </w:pPr>
      <w:r>
        <w:rPr>
          <w:b w:val="0"/>
          <w:bCs w:val="0"/>
          <w:szCs w:val="28"/>
        </w:rPr>
        <w:t xml:space="preserve">б) </w:t>
      </w:r>
      <w:r>
        <w:rPr>
          <w:b w:val="0"/>
          <w:bCs w:val="0"/>
          <w:szCs w:val="28"/>
          <w:highlight w:val="white"/>
        </w:rPr>
        <w:t xml:space="preserve">Управление </w:t>
      </w:r>
      <w:r>
        <w:rPr>
          <w:b w:val="0"/>
          <w:bCs w:val="0"/>
          <w:szCs w:val="28"/>
          <w:highlight w:val="white"/>
        </w:rPr>
        <w:t xml:space="preserve">Роспотребнадзора</w:t>
      </w:r>
      <w:r>
        <w:rPr>
          <w:b w:val="0"/>
          <w:bCs w:val="0"/>
          <w:szCs w:val="28"/>
          <w:highlight w:val="white"/>
        </w:rPr>
        <w:t xml:space="preserve"> </w:t>
      </w:r>
      <w:r>
        <w:rPr>
          <w:b w:val="0"/>
          <w:bCs w:val="0"/>
          <w:szCs w:val="28"/>
          <w:highlight w:val="white"/>
        </w:rPr>
        <w:t xml:space="preserve">НСО</w:t>
      </w:r>
      <w:r>
        <w:rPr>
          <w:b w:val="0"/>
          <w:bCs w:val="0"/>
          <w:szCs w:val="28"/>
        </w:rPr>
        <w:t xml:space="preserve"> пакета документов, необходимых для подготовки решения о нежелательности пребывания (проживания) иностранного гражданина или лица без гражданства в Российской Федерации</w:t>
      </w:r>
      <w:r>
        <w:rPr>
          <w:b w:val="0"/>
          <w:bCs w:val="0"/>
          <w:szCs w:val="28"/>
        </w:rPr>
        <w:t xml:space="preserve">,</w:t>
      </w:r>
      <w:r>
        <w:rPr>
          <w:b w:val="0"/>
          <w:bCs w:val="0"/>
          <w:szCs w:val="28"/>
        </w:rPr>
        <w:t xml:space="preserve"> согласно приложению №</w:t>
      </w:r>
      <w:r>
        <w:rPr>
          <w:b w:val="0"/>
          <w:bCs w:val="0"/>
          <w:szCs w:val="28"/>
        </w:rPr>
        <w:t xml:space="preserve"> </w:t>
      </w:r>
      <w:r>
        <w:rPr>
          <w:b w:val="0"/>
          <w:bCs w:val="0"/>
          <w:szCs w:val="28"/>
        </w:rPr>
        <w:t xml:space="preserve">9 к настоящему приказу (по адресу </w:t>
      </w:r>
      <w:r>
        <w:rPr>
          <w:b w:val="0"/>
          <w:bCs w:val="0"/>
          <w:szCs w:val="28"/>
          <w:highlight w:val="white"/>
        </w:rPr>
        <w:t xml:space="preserve">Vi</w:t>
      </w:r>
      <w:r>
        <w:rPr>
          <w:b w:val="0"/>
          <w:bCs w:val="0"/>
          <w:szCs w:val="28"/>
          <w:highlight w:val="white"/>
          <w:lang w:val="en-US"/>
        </w:rPr>
        <w:t xml:space="preserve">pN</w:t>
      </w:r>
      <w:r>
        <w:rPr>
          <w:b w:val="0"/>
          <w:bCs w:val="0"/>
          <w:szCs w:val="28"/>
          <w:highlight w:val="white"/>
        </w:rPr>
        <w:t xml:space="preserve">et</w:t>
      </w:r>
      <w:r>
        <w:rPr>
          <w:b w:val="0"/>
          <w:bCs w:val="0"/>
          <w:szCs w:val="28"/>
        </w:rPr>
        <w:t xml:space="preserve">: </w:t>
      </w:r>
      <w:r>
        <w:rPr>
          <w:b w:val="0"/>
          <w:bCs w:val="0"/>
          <w:szCs w:val="28"/>
        </w:rPr>
        <w:t xml:space="preserve">Роспотребнадзор</w:t>
      </w:r>
      <w:r>
        <w:rPr>
          <w:b w:val="0"/>
          <w:bCs w:val="0"/>
          <w:szCs w:val="28"/>
        </w:rPr>
        <w:t xml:space="preserve"> НСО Канцелярия 2.1660);</w:t>
      </w:r>
      <w:r>
        <w:rPr>
          <w:b w:val="0"/>
          <w:bCs w:val="0"/>
          <w:szCs w:val="28"/>
        </w:rPr>
      </w:r>
      <w:r>
        <w:rPr>
          <w:b w:val="0"/>
          <w:bCs w:val="0"/>
          <w:szCs w:val="28"/>
        </w:rPr>
      </w:r>
    </w:p>
    <w:p>
      <w:pPr>
        <w:pStyle w:val="1024"/>
        <w:ind w:firstLine="709"/>
        <w:jc w:val="both"/>
        <w:rPr>
          <w:b w:val="0"/>
          <w:bCs w:val="0"/>
        </w:rPr>
        <w:pBdr>
          <w:right w:val="none" w:color="000000" w:sz="4" w:space="2"/>
        </w:pBdr>
      </w:pPr>
      <w:r>
        <w:rPr>
          <w:b w:val="0"/>
          <w:bCs w:val="0"/>
          <w:szCs w:val="28"/>
        </w:rPr>
        <w:t xml:space="preserve">4) ежемесячно</w:t>
      </w:r>
      <w:r>
        <w:rPr>
          <w:b w:val="0"/>
          <w:bCs w:val="0"/>
          <w:szCs w:val="28"/>
        </w:rPr>
        <w:t xml:space="preserve">,</w:t>
      </w:r>
      <w:r>
        <w:rPr>
          <w:b w:val="0"/>
          <w:bCs w:val="0"/>
          <w:szCs w:val="28"/>
        </w:rPr>
        <w:t xml:space="preserve"> не позднее 25 числа отчетного месяца</w:t>
      </w:r>
      <w:r>
        <w:rPr>
          <w:b w:val="0"/>
          <w:bCs w:val="0"/>
          <w:szCs w:val="28"/>
        </w:rPr>
        <w:t xml:space="preserve">,</w:t>
      </w:r>
      <w:r>
        <w:rPr>
          <w:b w:val="0"/>
          <w:bCs w:val="0"/>
          <w:szCs w:val="28"/>
        </w:rPr>
        <w:t xml:space="preserve"> в компоненте Единой государственной информационной системы здравоохранения Новосибирской области «Мониторинг и реализация программ здравоохранения» </w:t>
      </w:r>
      <w:r>
        <w:rPr>
          <w:b w:val="0"/>
          <w:bCs w:val="0"/>
          <w:szCs w:val="28"/>
        </w:rPr>
        <w:t xml:space="preserve">(http://svod.egisz№so.ru/, форма «</w:t>
      </w:r>
      <w:r>
        <w:rPr>
          <w:b w:val="0"/>
          <w:bCs w:val="0"/>
          <w:szCs w:val="28"/>
        </w:rPr>
        <w:t xml:space="preserve">Иностранные_граждане</w:t>
      </w:r>
      <w:r>
        <w:rPr>
          <w:b w:val="0"/>
          <w:bCs w:val="0"/>
          <w:szCs w:val="28"/>
        </w:rPr>
        <w:t xml:space="preserve">») заполн</w:t>
      </w:r>
      <w:r>
        <w:rPr>
          <w:b w:val="0"/>
          <w:bCs w:val="0"/>
          <w:szCs w:val="28"/>
        </w:rPr>
        <w:t xml:space="preserve">я</w:t>
      </w:r>
      <w:r>
        <w:rPr>
          <w:b w:val="0"/>
          <w:bCs w:val="0"/>
          <w:szCs w:val="28"/>
        </w:rPr>
        <w:t xml:space="preserve">ть отчет о числе иностранных граждан, у которых выявлены заболевания при прохождении медицинского освидетельствования, согласно приложению № 8 к настоящему приказу;</w:t>
      </w:r>
      <w:r>
        <w:rPr>
          <w:b w:val="0"/>
          <w:bCs w:val="0"/>
        </w:rPr>
      </w:r>
      <w:r>
        <w:rPr>
          <w:b w:val="0"/>
          <w:bCs w:val="0"/>
        </w:rPr>
      </w:r>
    </w:p>
    <w:p>
      <w:pPr>
        <w:pStyle w:val="1024"/>
        <w:ind w:firstLine="709"/>
        <w:jc w:val="both"/>
        <w:rPr>
          <w:b w:val="0"/>
          <w:bCs w:val="0"/>
          <w:szCs w:val="28"/>
        </w:rPr>
        <w:pBdr>
          <w:right w:val="none" w:color="000000" w:sz="4" w:space="2"/>
        </w:pBdr>
      </w:pPr>
      <w:r>
        <w:rPr>
          <w:b w:val="0"/>
          <w:bCs w:val="0"/>
          <w:szCs w:val="28"/>
        </w:rPr>
        <w:t xml:space="preserve">5) главному врачу </w:t>
      </w:r>
      <w:r>
        <w:rPr>
          <w:b w:val="0"/>
          <w:bCs w:val="0"/>
          <w:szCs w:val="28"/>
          <w:highlight w:val="white"/>
        </w:rPr>
        <w:t xml:space="preserve">ГБУЗ НСО «НОКИБ»</w:t>
      </w:r>
      <w:r>
        <w:rPr>
          <w:b w:val="0"/>
          <w:bCs w:val="0"/>
          <w:szCs w:val="28"/>
        </w:rPr>
        <w:t xml:space="preserve"> обеспечить направление Сигнального извещения по утвержденной форме в случае неявки иностранного гражданина на дополнительное обследование в целях подтверждения или исключения диагноза ВИЧ-инфекции в течение 30 дней с даты </w:t>
      </w:r>
      <w:r>
        <w:rPr>
          <w:b w:val="0"/>
          <w:bCs w:val="0"/>
          <w:szCs w:val="28"/>
        </w:rPr>
        <w:t xml:space="preserve">выдачи направления в </w:t>
      </w:r>
      <w:r>
        <w:rPr>
          <w:b w:val="0"/>
          <w:bCs w:val="0"/>
          <w:szCs w:val="28"/>
        </w:rPr>
        <w:t xml:space="preserve">Управление по вопросам миграции </w:t>
      </w:r>
      <w:r>
        <w:rPr>
          <w:b w:val="0"/>
          <w:bCs w:val="0"/>
          <w:szCs w:val="28"/>
        </w:rPr>
        <w:t xml:space="preserve">НСО</w:t>
      </w:r>
      <w:r>
        <w:rPr>
          <w:b w:val="0"/>
          <w:bCs w:val="0"/>
          <w:szCs w:val="28"/>
        </w:rPr>
        <w:t xml:space="preserve"> с пометкой</w:t>
      </w:r>
      <w:r>
        <w:rPr>
          <w:b w:val="0"/>
          <w:bCs w:val="0"/>
          <w:szCs w:val="28"/>
        </w:rPr>
        <w:t xml:space="preserve"> «подозрение на заболевание, уклонение от </w:t>
      </w:r>
      <w:r>
        <w:rPr>
          <w:b w:val="0"/>
          <w:bCs w:val="0"/>
          <w:szCs w:val="28"/>
        </w:rPr>
        <w:t xml:space="preserve">дообследования</w:t>
      </w:r>
      <w:r>
        <w:rPr>
          <w:b w:val="0"/>
          <w:bCs w:val="0"/>
          <w:szCs w:val="28"/>
        </w:rPr>
        <w:t xml:space="preserve">». </w:t>
      </w:r>
      <w:r>
        <w:rPr>
          <w:b w:val="0"/>
          <w:bCs w:val="0"/>
          <w:szCs w:val="28"/>
        </w:rPr>
      </w:r>
      <w:r>
        <w:rPr>
          <w:b w:val="0"/>
          <w:bCs w:val="0"/>
          <w:szCs w:val="28"/>
        </w:rPr>
      </w:r>
    </w:p>
    <w:p>
      <w:pPr>
        <w:pStyle w:val="1024"/>
        <w:ind w:firstLine="709"/>
        <w:jc w:val="both"/>
        <w:rPr>
          <w:b w:val="0"/>
          <w:bCs w:val="0"/>
          <w:szCs w:val="28"/>
        </w:rPr>
        <w:pBdr>
          <w:right w:val="none" w:color="000000" w:sz="4" w:space="2"/>
        </w:pBdr>
      </w:pPr>
      <w:r>
        <w:rPr>
          <w:b w:val="0"/>
          <w:bCs w:val="0"/>
          <w:szCs w:val="28"/>
          <w:highlight w:val="white"/>
        </w:rPr>
        <w:t xml:space="preserve">4. </w:t>
      </w:r>
      <w:r>
        <w:rPr>
          <w:b w:val="0"/>
          <w:bCs w:val="0"/>
          <w:szCs w:val="28"/>
        </w:rPr>
        <w:t xml:space="preserve">Рекомендовать </w:t>
      </w:r>
      <w:r>
        <w:rPr>
          <w:b w:val="0"/>
          <w:bCs w:val="0"/>
          <w:szCs w:val="28"/>
        </w:rPr>
        <w:t xml:space="preserve">исполнение пункта 2 настоящего приказа </w:t>
      </w:r>
      <w:r>
        <w:rPr>
          <w:b w:val="0"/>
          <w:bCs w:val="0"/>
          <w:szCs w:val="28"/>
        </w:rPr>
        <w:t xml:space="preserve">руководителям медицинских организаций частной системы здравоохранения и </w:t>
      </w:r>
      <w:r>
        <w:rPr>
          <w:b w:val="0"/>
          <w:bCs w:val="0"/>
          <w:szCs w:val="28"/>
        </w:rPr>
        <w:t xml:space="preserve">государственных учреждений</w:t>
      </w:r>
      <w:r>
        <w:rPr>
          <w:b w:val="0"/>
          <w:bCs w:val="0"/>
          <w:szCs w:val="28"/>
        </w:rPr>
        <w:t xml:space="preserve">, подведомственных министерству здравоохранения Российской Федерации, осуществляющих медицинское освидетельствование иностранных граждан и лиц без гражданства </w:t>
      </w:r>
      <w:r>
        <w:rPr>
          <w:b w:val="0"/>
          <w:bCs w:val="0"/>
          <w:szCs w:val="28"/>
          <w:highlight w:val="white"/>
        </w:rPr>
        <w:t xml:space="preserve">в соответствии с </w:t>
      </w:r>
      <w:r>
        <w:rPr>
          <w:b w:val="0"/>
          <w:bCs w:val="0"/>
          <w:szCs w:val="28"/>
          <w:highlight w:val="white"/>
        </w:rPr>
        <w:t xml:space="preserve">требованиями </w:t>
      </w:r>
      <w:r>
        <w:rPr>
          <w:b w:val="0"/>
          <w:bCs w:val="0"/>
          <w:szCs w:val="28"/>
          <w:highlight w:val="white"/>
        </w:rPr>
        <w:t xml:space="preserve">постановлени</w:t>
      </w:r>
      <w:r>
        <w:rPr>
          <w:b w:val="0"/>
          <w:bCs w:val="0"/>
          <w:szCs w:val="28"/>
          <w:highlight w:val="white"/>
        </w:rPr>
        <w:t xml:space="preserve">я</w:t>
      </w:r>
      <w:r>
        <w:rPr>
          <w:b w:val="0"/>
          <w:bCs w:val="0"/>
          <w:szCs w:val="28"/>
          <w:highlight w:val="white"/>
        </w:rPr>
        <w:t xml:space="preserve"> Правительства Новосибирской области от 05.02.2015 № 47-п «Об организации проведения медицинских освидетельствований иностранных граждан и лиц без гражданства»</w:t>
      </w:r>
      <w:r>
        <w:rPr>
          <w:b w:val="0"/>
          <w:bCs w:val="0"/>
          <w:szCs w:val="28"/>
          <w:highlight w:val="white"/>
        </w:rPr>
        <w:t xml:space="preserve">.</w:t>
      </w:r>
      <w:r>
        <w:rPr>
          <w:b w:val="0"/>
          <w:bCs w:val="0"/>
          <w:szCs w:val="28"/>
          <w:highlight w:val="white"/>
        </w:rPr>
        <w:t xml:space="preserve"> </w:t>
      </w:r>
      <w:r>
        <w:rPr>
          <w:b w:val="0"/>
          <w:bCs w:val="0"/>
          <w:szCs w:val="28"/>
        </w:rPr>
      </w:r>
      <w:r>
        <w:rPr>
          <w:b w:val="0"/>
          <w:bCs w:val="0"/>
          <w:szCs w:val="28"/>
        </w:rPr>
      </w:r>
    </w:p>
    <w:p>
      <w:pPr>
        <w:pStyle w:val="1024"/>
        <w:ind w:firstLine="709"/>
        <w:jc w:val="both"/>
        <w:rPr>
          <w:b w:val="0"/>
          <w:bCs w:val="0"/>
          <w:szCs w:val="28"/>
        </w:rPr>
        <w:pBdr>
          <w:right w:val="none" w:color="000000" w:sz="4" w:space="2"/>
        </w:pBdr>
      </w:pPr>
      <w:r>
        <w:rPr>
          <w:b w:val="0"/>
          <w:bCs w:val="0"/>
          <w:szCs w:val="28"/>
        </w:rPr>
        <w:t xml:space="preserve">5. Директору государственного бюджетного учреждения здравоохранения Новосибирской области особого типа «Медицинский информационно-аналитический центр» Хмелевой М.О. обеспечить:</w:t>
      </w:r>
      <w:r>
        <w:rPr>
          <w:b w:val="0"/>
          <w:bCs w:val="0"/>
          <w:szCs w:val="28"/>
        </w:rPr>
      </w:r>
      <w:r>
        <w:rPr>
          <w:b w:val="0"/>
          <w:bCs w:val="0"/>
          <w:szCs w:val="28"/>
        </w:rPr>
      </w:r>
    </w:p>
    <w:p>
      <w:pPr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  <w:highlight w:val="white"/>
        </w:rPr>
        <w:t xml:space="preserve">1) в срок до 30.04.2025 созда</w:t>
      </w:r>
      <w:r>
        <w:rPr>
          <w:sz w:val="28"/>
          <w:szCs w:val="28"/>
        </w:rPr>
        <w:t xml:space="preserve">ние отчетов об иностранных гражданах</w:t>
      </w:r>
      <w:r>
        <w:rPr>
          <w:sz w:val="28"/>
          <w:szCs w:val="28"/>
        </w:rPr>
        <w:t xml:space="preserve"> и лиц без гражданства,</w:t>
      </w:r>
      <w:r>
        <w:rPr>
          <w:sz w:val="28"/>
          <w:szCs w:val="28"/>
        </w:rPr>
        <w:t xml:space="preserve"> прошедших медицинское освидетельствование, о числе иностранных граждан, у которых выявлены при прохождении медицинского освидетельствования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заболевани</w:t>
      </w:r>
      <w:r>
        <w:rPr>
          <w:sz w:val="28"/>
          <w:szCs w:val="28"/>
          <w:highlight w:val="white"/>
        </w:rPr>
        <w:t xml:space="preserve">я, </w:t>
      </w:r>
      <w:r>
        <w:rPr>
          <w:sz w:val="28"/>
          <w:szCs w:val="28"/>
          <w:highlight w:val="white"/>
        </w:rPr>
        <w:t xml:space="preserve">факт</w:t>
      </w:r>
      <w:r>
        <w:rPr>
          <w:sz w:val="28"/>
          <w:szCs w:val="28"/>
          <w:highlight w:val="white"/>
        </w:rPr>
        <w:t xml:space="preserve">ы</w:t>
      </w:r>
      <w:r>
        <w:rPr>
          <w:sz w:val="28"/>
          <w:szCs w:val="28"/>
          <w:highlight w:val="white"/>
        </w:rPr>
        <w:t xml:space="preserve"> употребления наркотических средств или психотропных веществ без назначения врача,  либо новых потенциально опасных </w:t>
      </w:r>
      <w:r>
        <w:rPr>
          <w:sz w:val="28"/>
          <w:szCs w:val="28"/>
          <w:highlight w:val="white"/>
        </w:rPr>
        <w:t xml:space="preserve">психоактивных</w:t>
      </w:r>
      <w:r>
        <w:rPr>
          <w:sz w:val="28"/>
          <w:szCs w:val="28"/>
          <w:highlight w:val="white"/>
        </w:rPr>
        <w:t xml:space="preserve"> веществ и их метаболитов, </w:t>
      </w:r>
      <w:r>
        <w:rPr>
          <w:bCs/>
          <w:sz w:val="28"/>
          <w:szCs w:val="28"/>
          <w:highlight w:val="white"/>
        </w:rPr>
        <w:t xml:space="preserve">в компо</w:t>
      </w:r>
      <w:r>
        <w:rPr>
          <w:bCs/>
          <w:sz w:val="28"/>
          <w:szCs w:val="28"/>
        </w:rPr>
        <w:t xml:space="preserve">ненте «Мониторинг реализации программ здравоохранения» Единой государственной информационной системы в сфере здравоохранения Новосибирской области</w:t>
      </w:r>
      <w:r>
        <w:rPr>
          <w:bCs/>
          <w:sz w:val="28"/>
          <w:szCs w:val="28"/>
        </w:rPr>
        <w:t xml:space="preserve">,</w:t>
      </w:r>
      <w:r>
        <w:rPr>
          <w:bCs/>
          <w:sz w:val="28"/>
          <w:szCs w:val="28"/>
        </w:rPr>
        <w:t xml:space="preserve"> согласно приложени</w:t>
      </w:r>
      <w:r>
        <w:rPr>
          <w:bCs/>
          <w:sz w:val="28"/>
          <w:szCs w:val="28"/>
        </w:rPr>
        <w:t xml:space="preserve">ям</w:t>
      </w:r>
      <w:r>
        <w:rPr>
          <w:bCs/>
          <w:sz w:val="28"/>
          <w:szCs w:val="28"/>
        </w:rPr>
        <w:t xml:space="preserve"> № 7 и № 8 к настоящему приказу;</w:t>
      </w:r>
      <w:r>
        <w:rPr>
          <w:bCs/>
          <w:sz w:val="28"/>
          <w:szCs w:val="28"/>
        </w:rPr>
      </w:r>
      <w:r>
        <w:rPr>
          <w:bCs/>
          <w:sz w:val="28"/>
          <w:szCs w:val="28"/>
        </w:rPr>
      </w:r>
    </w:p>
    <w:p>
      <w:pPr>
        <w:pStyle w:val="1024"/>
        <w:ind w:firstLine="709"/>
        <w:jc w:val="both"/>
        <w:rPr>
          <w:b w:val="0"/>
          <w:bCs w:val="0"/>
        </w:rPr>
        <w:pBdr>
          <w:right w:val="none" w:color="000000" w:sz="4" w:space="2"/>
        </w:pBdr>
      </w:pPr>
      <w:r>
        <w:rPr>
          <w:b w:val="0"/>
          <w:bCs w:val="0"/>
          <w:szCs w:val="28"/>
        </w:rPr>
        <w:t xml:space="preserve">2</w:t>
      </w:r>
      <w:r>
        <w:rPr>
          <w:b w:val="0"/>
          <w:bCs w:val="0"/>
          <w:szCs w:val="28"/>
          <w:highlight w:val="white"/>
        </w:rPr>
        <w:t xml:space="preserve">) в срок до 30.04.2025 предоста</w:t>
      </w:r>
      <w:r>
        <w:rPr>
          <w:b w:val="0"/>
          <w:bCs w:val="0"/>
          <w:szCs w:val="28"/>
        </w:rPr>
        <w:t xml:space="preserve">вление доступа к отчета</w:t>
      </w:r>
      <w:r>
        <w:rPr>
          <w:b w:val="0"/>
          <w:bCs w:val="0"/>
          <w:szCs w:val="28"/>
          <w:highlight w:val="white"/>
        </w:rPr>
        <w:t xml:space="preserve">м согласно приложени</w:t>
      </w:r>
      <w:r>
        <w:rPr>
          <w:b w:val="0"/>
          <w:bCs w:val="0"/>
          <w:szCs w:val="28"/>
          <w:highlight w:val="white"/>
        </w:rPr>
        <w:t xml:space="preserve">ям</w:t>
      </w:r>
      <w:r>
        <w:rPr>
          <w:b w:val="0"/>
          <w:bCs w:val="0"/>
          <w:szCs w:val="28"/>
          <w:highlight w:val="white"/>
        </w:rPr>
        <w:t xml:space="preserve"> № 7</w:t>
      </w:r>
      <w:r>
        <w:rPr>
          <w:b w:val="0"/>
          <w:bCs w:val="0"/>
          <w:szCs w:val="28"/>
          <w:highlight w:val="white"/>
        </w:rPr>
        <w:t xml:space="preserve"> и</w:t>
      </w:r>
      <w:r>
        <w:rPr>
          <w:b w:val="0"/>
          <w:bCs w:val="0"/>
          <w:szCs w:val="28"/>
          <w:highlight w:val="white"/>
        </w:rPr>
        <w:t xml:space="preserve"> № 9 главному внештатному специалисту по </w:t>
      </w:r>
      <w:r>
        <w:rPr>
          <w:b w:val="0"/>
          <w:bCs w:val="0"/>
          <w:szCs w:val="28"/>
          <w:highlight w:val="white"/>
        </w:rPr>
        <w:t xml:space="preserve">дерматовенерологии</w:t>
      </w:r>
      <w:r>
        <w:rPr>
          <w:b w:val="0"/>
          <w:bCs w:val="0"/>
          <w:szCs w:val="28"/>
          <w:highlight w:val="white"/>
        </w:rPr>
        <w:t xml:space="preserve"> и косметологии министерства здравоохранения Новосибирской облас</w:t>
      </w:r>
      <w:r>
        <w:rPr>
          <w:b w:val="0"/>
          <w:bCs w:val="0"/>
          <w:szCs w:val="28"/>
        </w:rPr>
        <w:t xml:space="preserve">ти Онипченко В.В., главному внештатному специалисту фтизиатру министерства здравоохранения Новосибирской области </w:t>
      </w:r>
      <w:r>
        <w:rPr>
          <w:b w:val="0"/>
          <w:bCs w:val="0"/>
          <w:szCs w:val="28"/>
        </w:rPr>
        <w:t xml:space="preserve">Пятибратовой</w:t>
      </w:r>
      <w:r>
        <w:rPr>
          <w:b w:val="0"/>
          <w:bCs w:val="0"/>
          <w:szCs w:val="28"/>
        </w:rPr>
        <w:t xml:space="preserve"> А.В., главному внештатному специалисту по ВИЧ-инфекции министерства здравоох</w:t>
      </w:r>
      <w:r>
        <w:rPr>
          <w:b w:val="0"/>
          <w:bCs w:val="0"/>
          <w:color w:val="000000" w:themeColor="text1"/>
          <w:szCs w:val="28"/>
          <w:highlight w:val="white"/>
        </w:rPr>
        <w:t xml:space="preserve">ранения Новосибирской области Капустину Д.В.;</w:t>
      </w:r>
      <w:r>
        <w:rPr>
          <w:b w:val="0"/>
          <w:bCs w:val="0"/>
        </w:rPr>
      </w:r>
      <w:r>
        <w:rPr>
          <w:b w:val="0"/>
          <w:bCs w:val="0"/>
        </w:rPr>
      </w:r>
    </w:p>
    <w:p>
      <w:pPr>
        <w:pStyle w:val="1024"/>
        <w:ind w:firstLine="709"/>
        <w:jc w:val="both"/>
        <w:rPr>
          <w:b w:val="0"/>
          <w:bCs w:val="0"/>
          <w:szCs w:val="28"/>
        </w:rPr>
        <w:pBdr>
          <w:right w:val="none" w:color="000000" w:sz="4" w:space="2"/>
        </w:pBdr>
      </w:pPr>
      <w:r>
        <w:rPr>
          <w:b w:val="0"/>
          <w:bCs w:val="0"/>
          <w:color w:val="000000" w:themeColor="text1"/>
          <w:szCs w:val="28"/>
        </w:rPr>
        <w:t xml:space="preserve">3) проведение мониторинга количества иностранных граждан и лиц без гражданства, прошедших медицинское освидетельствование, в том числе лиц, у которых выявлены забол</w:t>
      </w:r>
      <w:r>
        <w:rPr>
          <w:b w:val="0"/>
          <w:bCs w:val="0"/>
          <w:szCs w:val="28"/>
        </w:rPr>
        <w:t xml:space="preserve">евания, представляющие опасность для окружающих, с последующим направлением</w:t>
      </w:r>
      <w:r>
        <w:rPr>
          <w:b w:val="0"/>
          <w:bCs w:val="0"/>
          <w:szCs w:val="28"/>
        </w:rPr>
        <w:t xml:space="preserve"> </w:t>
      </w:r>
      <w:r>
        <w:rPr>
          <w:b w:val="0"/>
          <w:bCs w:val="0"/>
          <w:szCs w:val="28"/>
        </w:rPr>
        <w:t xml:space="preserve">проведенного мониторинга</w:t>
      </w:r>
      <w:r>
        <w:rPr>
          <w:b w:val="0"/>
          <w:bCs w:val="0"/>
          <w:color w:val="ff0000"/>
          <w:szCs w:val="28"/>
        </w:rPr>
        <w:t xml:space="preserve"> </w:t>
      </w:r>
      <w:r>
        <w:rPr>
          <w:b w:val="0"/>
          <w:bCs w:val="0"/>
          <w:szCs w:val="28"/>
        </w:rPr>
        <w:t xml:space="preserve">в адрес Управления </w:t>
      </w:r>
      <w:r>
        <w:rPr>
          <w:b w:val="0"/>
          <w:bCs w:val="0"/>
          <w:szCs w:val="28"/>
        </w:rPr>
        <w:t xml:space="preserve">Роспотребнадзора</w:t>
      </w:r>
      <w:r>
        <w:rPr>
          <w:b w:val="0"/>
          <w:bCs w:val="0"/>
          <w:szCs w:val="28"/>
        </w:rPr>
        <w:t xml:space="preserve"> Н</w:t>
      </w:r>
      <w:r>
        <w:rPr>
          <w:b w:val="0"/>
          <w:bCs w:val="0"/>
          <w:szCs w:val="28"/>
        </w:rPr>
        <w:t xml:space="preserve">СО</w:t>
      </w:r>
      <w:r>
        <w:rPr>
          <w:b w:val="0"/>
          <w:bCs w:val="0"/>
          <w:szCs w:val="28"/>
        </w:rPr>
        <w:t xml:space="preserve"> ежемесячно в срок до 30 числа текущего месяца.</w:t>
      </w:r>
      <w:r>
        <w:rPr>
          <w:b w:val="0"/>
          <w:bCs w:val="0"/>
          <w:szCs w:val="28"/>
        </w:rPr>
      </w:r>
      <w:r>
        <w:rPr>
          <w:b w:val="0"/>
          <w:bCs w:val="0"/>
          <w:szCs w:val="28"/>
        </w:rPr>
      </w:r>
    </w:p>
    <w:p>
      <w:pPr>
        <w:pStyle w:val="1024"/>
        <w:ind w:firstLine="709"/>
        <w:jc w:val="both"/>
        <w:rPr>
          <w:b w:val="0"/>
          <w:bCs w:val="0"/>
          <w:szCs w:val="28"/>
        </w:rPr>
        <w:pBdr>
          <w:right w:val="none" w:color="000000" w:sz="4" w:space="2"/>
        </w:pBdr>
      </w:pPr>
      <w:r>
        <w:rPr>
          <w:b w:val="0"/>
          <w:bCs w:val="0"/>
          <w:szCs w:val="28"/>
        </w:rPr>
        <w:t xml:space="preserve">6. Признать утратившим</w:t>
      </w:r>
      <w:r>
        <w:rPr>
          <w:b w:val="0"/>
          <w:bCs w:val="0"/>
          <w:szCs w:val="28"/>
        </w:rPr>
        <w:t xml:space="preserve">и</w:t>
      </w:r>
      <w:bookmarkStart w:id="0" w:name="_GoBack"/>
      <w:r/>
      <w:bookmarkEnd w:id="0"/>
      <w:r>
        <w:rPr>
          <w:b w:val="0"/>
          <w:bCs w:val="0"/>
          <w:szCs w:val="28"/>
        </w:rPr>
        <w:t xml:space="preserve"> силу приказ</w:t>
      </w:r>
      <w:r>
        <w:rPr>
          <w:b w:val="0"/>
          <w:bCs w:val="0"/>
          <w:szCs w:val="28"/>
        </w:rPr>
        <w:t xml:space="preserve">ы</w:t>
      </w:r>
      <w:r>
        <w:rPr>
          <w:b w:val="0"/>
          <w:bCs w:val="0"/>
          <w:szCs w:val="28"/>
        </w:rPr>
        <w:t xml:space="preserve"> министерства здравоохранения Новосибирской области от 31.12.2015 № 4123 «О медицинском освидетельствовании иностранных граждан и лиц без гражданства»</w:t>
      </w:r>
      <w:r>
        <w:rPr>
          <w:b w:val="0"/>
          <w:bCs w:val="0"/>
          <w:szCs w:val="28"/>
        </w:rPr>
        <w:t xml:space="preserve">, от</w:t>
      </w:r>
      <w:r>
        <w:rPr>
          <w:b w:val="0"/>
          <w:bCs w:val="0"/>
          <w:szCs w:val="28"/>
        </w:rPr>
        <w:t xml:space="preserve"> </w:t>
      </w:r>
      <w:r>
        <w:rPr>
          <w:b w:val="0"/>
          <w:szCs w:val="28"/>
        </w:rPr>
        <w:t xml:space="preserve">12.01.2016</w:t>
      </w:r>
      <w:r>
        <w:rPr>
          <w:b w:val="0"/>
          <w:szCs w:val="28"/>
        </w:rPr>
        <w:t xml:space="preserve"> </w:t>
      </w:r>
      <w:r>
        <w:rPr>
          <w:b w:val="0"/>
          <w:szCs w:val="28"/>
        </w:rPr>
        <w:t xml:space="preserve">№ </w:t>
      </w:r>
      <w:r>
        <w:rPr>
          <w:b w:val="0"/>
          <w:szCs w:val="28"/>
        </w:rPr>
        <w:t xml:space="preserve">15</w:t>
      </w:r>
      <w:r>
        <w:rPr>
          <w:b w:val="0"/>
          <w:szCs w:val="28"/>
        </w:rPr>
        <w:t xml:space="preserve"> «</w:t>
      </w:r>
      <w:r>
        <w:rPr>
          <w:b w:val="0"/>
          <w:szCs w:val="28"/>
        </w:rPr>
        <w:t xml:space="preserve">О внесении </w:t>
      </w:r>
      <w:r>
        <w:rPr>
          <w:b w:val="0"/>
          <w:szCs w:val="28"/>
        </w:rPr>
        <w:t xml:space="preserve">изменений в приказ министерства здравоохранения Новосибирской области от 31.12.2015 </w:t>
      </w:r>
      <w:r>
        <w:rPr>
          <w:b w:val="0"/>
          <w:szCs w:val="28"/>
        </w:rPr>
        <w:t xml:space="preserve">№ </w:t>
      </w:r>
      <w:r>
        <w:rPr>
          <w:b w:val="0"/>
          <w:szCs w:val="28"/>
        </w:rPr>
        <w:t xml:space="preserve">4123</w:t>
      </w:r>
      <w:r>
        <w:rPr>
          <w:b w:val="0"/>
          <w:szCs w:val="28"/>
        </w:rPr>
        <w:t xml:space="preserve">».</w:t>
      </w:r>
      <w:r>
        <w:rPr>
          <w:b w:val="0"/>
          <w:bCs w:val="0"/>
          <w:szCs w:val="28"/>
        </w:rPr>
      </w:r>
      <w:r>
        <w:rPr>
          <w:b w:val="0"/>
          <w:bCs w:val="0"/>
          <w:szCs w:val="28"/>
        </w:rPr>
      </w:r>
    </w:p>
    <w:p>
      <w:pPr>
        <w:pStyle w:val="1024"/>
        <w:ind w:firstLine="709"/>
        <w:jc w:val="both"/>
        <w:rPr>
          <w:b w:val="0"/>
          <w:bCs w:val="0"/>
        </w:rPr>
        <w:pBdr>
          <w:right w:val="none" w:color="000000" w:sz="4" w:space="2"/>
        </w:pBdr>
      </w:pPr>
      <w:r>
        <w:rPr>
          <w:b w:val="0"/>
          <w:bCs w:val="0"/>
          <w:szCs w:val="28"/>
        </w:rPr>
        <w:t xml:space="preserve">7. Контроль за исполнением </w:t>
      </w:r>
      <w:r>
        <w:rPr>
          <w:b w:val="0"/>
          <w:bCs w:val="0"/>
          <w:szCs w:val="28"/>
        </w:rPr>
        <w:t xml:space="preserve">настоящего </w:t>
      </w:r>
      <w:r>
        <w:rPr>
          <w:b w:val="0"/>
          <w:bCs w:val="0"/>
          <w:szCs w:val="28"/>
        </w:rPr>
        <w:t xml:space="preserve">приказа возложить на заместителя министра здравоохранения Новосибирской</w:t>
      </w:r>
      <w:r>
        <w:rPr>
          <w:b w:val="0"/>
          <w:bCs w:val="0"/>
          <w:szCs w:val="28"/>
        </w:rPr>
        <w:t xml:space="preserve"> обл</w:t>
      </w:r>
      <w:r>
        <w:rPr>
          <w:b w:val="0"/>
          <w:bCs w:val="0"/>
          <w:szCs w:val="28"/>
          <w:highlight w:val="white"/>
        </w:rPr>
        <w:t xml:space="preserve">асти </w:t>
      </w:r>
      <w:r>
        <w:rPr>
          <w:b w:val="0"/>
          <w:bCs w:val="0"/>
          <w:highlight w:val="white"/>
        </w:rPr>
        <w:t xml:space="preserve">Аксенову Е.А.,</w:t>
      </w:r>
      <w:r>
        <w:rPr>
          <w:b w:val="0"/>
          <w:bCs w:val="0"/>
          <w:szCs w:val="28"/>
          <w:highlight w:val="white"/>
        </w:rPr>
        <w:t xml:space="preserve"> в части</w:t>
      </w:r>
      <w:r>
        <w:rPr>
          <w:b w:val="0"/>
          <w:bCs w:val="0"/>
          <w:szCs w:val="28"/>
        </w:rPr>
        <w:t xml:space="preserve"> </w:t>
      </w:r>
      <w:r>
        <w:rPr>
          <w:b w:val="0"/>
          <w:bCs w:val="0"/>
          <w:szCs w:val="28"/>
          <w:highlight w:val="white"/>
        </w:rPr>
        <w:t xml:space="preserve">созда</w:t>
      </w:r>
      <w:r>
        <w:rPr>
          <w:b w:val="0"/>
          <w:bCs w:val="0"/>
          <w:szCs w:val="28"/>
        </w:rPr>
        <w:t xml:space="preserve">ния отчетов </w:t>
      </w:r>
      <w:r>
        <w:rPr>
          <w:b w:val="0"/>
          <w:bCs w:val="0"/>
          <w:szCs w:val="28"/>
          <w:highlight w:val="white"/>
        </w:rPr>
        <w:t xml:space="preserve">в компо</w:t>
      </w:r>
      <w:r>
        <w:rPr>
          <w:b w:val="0"/>
          <w:bCs w:val="0"/>
          <w:szCs w:val="28"/>
        </w:rPr>
        <w:t xml:space="preserve">ненте «Мониторинг реализации программ здравоохранения» Единой государственной информационной системы в сфере здравоохранения Новосибирской области, а также </w:t>
      </w:r>
      <w:r>
        <w:rPr>
          <w:b w:val="0"/>
          <w:bCs w:val="0"/>
          <w:szCs w:val="28"/>
          <w:highlight w:val="white"/>
        </w:rPr>
        <w:t xml:space="preserve">предоста</w:t>
      </w:r>
      <w:r>
        <w:rPr>
          <w:b w:val="0"/>
          <w:bCs w:val="0"/>
          <w:szCs w:val="28"/>
        </w:rPr>
        <w:t xml:space="preserve">вления доступа к отчета</w:t>
      </w:r>
      <w:r>
        <w:rPr>
          <w:b w:val="0"/>
          <w:bCs w:val="0"/>
          <w:szCs w:val="28"/>
          <w:highlight w:val="white"/>
        </w:rPr>
        <w:t xml:space="preserve">м </w:t>
      </w:r>
      <w:r>
        <w:rPr>
          <w:b w:val="0"/>
          <w:bCs w:val="0"/>
          <w:szCs w:val="28"/>
        </w:rPr>
        <w:t xml:space="preserve">главным внештатным специалистам Новосибирской области</w:t>
      </w:r>
      <w:r>
        <w:rPr>
          <w:b w:val="0"/>
          <w:bCs w:val="0"/>
          <w:szCs w:val="28"/>
        </w:rPr>
        <w:t xml:space="preserve"> -</w:t>
      </w:r>
      <w:r>
        <w:rPr>
          <w:b w:val="0"/>
          <w:bCs w:val="0"/>
          <w:szCs w:val="28"/>
        </w:rPr>
        <w:t xml:space="preserve"> на </w:t>
      </w:r>
      <w:r>
        <w:rPr>
          <w:b w:val="0"/>
          <w:bCs w:val="0"/>
          <w:szCs w:val="28"/>
          <w:highlight w:val="white"/>
        </w:rPr>
        <w:t xml:space="preserve">заместителя министра здравоохранения Новосибирской области Колупаева А.В.</w:t>
      </w:r>
      <w:r>
        <w:rPr>
          <w:b w:val="0"/>
          <w:bCs w:val="0"/>
        </w:rPr>
      </w:r>
      <w:r>
        <w:rPr>
          <w:b w:val="0"/>
          <w:bCs w:val="0"/>
        </w:rPr>
      </w:r>
    </w:p>
    <w:p>
      <w:pPr>
        <w:pStyle w:val="1024"/>
        <w:jc w:val="left"/>
        <w:rPr>
          <w:b w:val="0"/>
          <w:bCs w:val="0"/>
        </w:rPr>
      </w:pPr>
      <w:r>
        <w:rPr>
          <w:b w:val="0"/>
          <w:bCs w:val="0"/>
        </w:rPr>
      </w:r>
      <w:r>
        <w:rPr>
          <w:b w:val="0"/>
          <w:bCs w:val="0"/>
        </w:rPr>
      </w:r>
      <w:r>
        <w:rPr>
          <w:b w:val="0"/>
          <w:bCs w:val="0"/>
        </w:rPr>
      </w:r>
    </w:p>
    <w:p>
      <w:pPr>
        <w:pStyle w:val="1024"/>
        <w:jc w:val="left"/>
        <w:rPr>
          <w:b w:val="0"/>
          <w:bCs w:val="0"/>
        </w:rPr>
      </w:pPr>
      <w:r>
        <w:rPr>
          <w:b w:val="0"/>
          <w:bCs w:val="0"/>
        </w:rPr>
      </w:r>
      <w:r>
        <w:rPr>
          <w:b w:val="0"/>
          <w:bCs w:val="0"/>
        </w:rPr>
      </w:r>
      <w:r>
        <w:rPr>
          <w:b w:val="0"/>
          <w:bCs w:val="0"/>
        </w:rPr>
      </w:r>
    </w:p>
    <w:p>
      <w:pPr>
        <w:pStyle w:val="1024"/>
        <w:jc w:val="left"/>
        <w:rPr>
          <w:b w:val="0"/>
          <w:bCs w:val="0"/>
        </w:rPr>
      </w:pPr>
      <w:r>
        <w:rPr>
          <w:b w:val="0"/>
          <w:bCs w:val="0"/>
        </w:rPr>
      </w:r>
      <w:r>
        <w:rPr>
          <w:b w:val="0"/>
          <w:bCs w:val="0"/>
        </w:rPr>
      </w:r>
      <w:r>
        <w:rPr>
          <w:b w:val="0"/>
          <w:bCs w:val="0"/>
        </w:rPr>
      </w:r>
    </w:p>
    <w:p>
      <w:pPr>
        <w:pStyle w:val="1024"/>
        <w:jc w:val="left"/>
        <w:rPr>
          <w:b w:val="0"/>
          <w:bCs w:val="0"/>
        </w:rPr>
      </w:pPr>
      <w:r>
        <w:rPr>
          <w:b w:val="0"/>
          <w:bCs w:val="0"/>
        </w:rPr>
        <w:t xml:space="preserve">Министр                                                                                                     </w:t>
      </w:r>
      <w:r>
        <w:rPr>
          <w:b w:val="0"/>
          <w:bCs w:val="0"/>
          <w:szCs w:val="28"/>
        </w:rPr>
        <w:t xml:space="preserve">Р.М. Заблоцкий</w:t>
      </w:r>
      <w:r>
        <w:rPr>
          <w:b w:val="0"/>
          <w:bCs w:val="0"/>
        </w:rPr>
      </w:r>
      <w:r>
        <w:rPr>
          <w:b w:val="0"/>
          <w:bCs w:val="0"/>
        </w:rPr>
      </w:r>
    </w:p>
    <w:p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jc w:val="both"/>
        <w:spacing w:line="252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jc w:val="both"/>
        <w:spacing w:line="252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jc w:val="both"/>
        <w:spacing w:line="252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jc w:val="both"/>
        <w:spacing w:line="252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jc w:val="both"/>
        <w:spacing w:line="252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jc w:val="both"/>
        <w:spacing w:line="252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jc w:val="both"/>
        <w:spacing w:line="252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jc w:val="both"/>
        <w:rPr>
          <w:color w:val="000000"/>
          <w:sz w:val="20"/>
          <w:szCs w:val="28"/>
        </w:rPr>
      </w:pPr>
      <w:r>
        <w:rPr>
          <w:color w:val="000000"/>
          <w:sz w:val="20"/>
          <w:szCs w:val="28"/>
          <w:lang w:bidi="ru-RU"/>
        </w:rPr>
        <w:t xml:space="preserve">О.В. </w:t>
      </w:r>
      <w:r>
        <w:rPr>
          <w:color w:val="000000"/>
          <w:sz w:val="20"/>
          <w:szCs w:val="28"/>
          <w:lang w:bidi="ru-RU"/>
        </w:rPr>
        <w:t xml:space="preserve">Беушева</w:t>
      </w:r>
      <w:r>
        <w:rPr>
          <w:color w:val="000000"/>
          <w:sz w:val="20"/>
          <w:szCs w:val="28"/>
        </w:rPr>
      </w:r>
      <w:r>
        <w:rPr>
          <w:color w:val="000000"/>
          <w:sz w:val="20"/>
          <w:szCs w:val="28"/>
        </w:rPr>
      </w:r>
    </w:p>
    <w:p>
      <w:pPr>
        <w:jc w:val="both"/>
        <w:rPr>
          <w:color w:val="000000"/>
          <w:sz w:val="20"/>
          <w:szCs w:val="20"/>
          <w:highlight w:val="none"/>
          <w:lang w:bidi="ru-RU"/>
        </w:rPr>
      </w:pPr>
      <w:r>
        <w:rPr>
          <w:color w:val="000000"/>
          <w:sz w:val="20"/>
          <w:szCs w:val="28"/>
          <w:lang w:bidi="ru-RU"/>
        </w:rPr>
        <w:t xml:space="preserve">238 63</w:t>
      </w:r>
      <w:r>
        <w:rPr>
          <w:bCs/>
          <w:color w:val="000000"/>
          <w:sz w:val="20"/>
          <w:szCs w:val="28"/>
          <w:lang w:bidi="ru-RU"/>
        </w:rPr>
        <w:t xml:space="preserve"> 27</w:t>
      </w:r>
      <w:r>
        <w:rPr>
          <w:color w:val="000000"/>
          <w:sz w:val="20"/>
          <w:szCs w:val="20"/>
          <w:highlight w:val="none"/>
          <w:lang w:bidi="ru-RU"/>
        </w:rPr>
      </w:r>
      <w:r>
        <w:rPr>
          <w:color w:val="000000"/>
          <w:sz w:val="20"/>
          <w:szCs w:val="20"/>
          <w:highlight w:val="none"/>
          <w:lang w:bidi="ru-RU"/>
        </w:rPr>
      </w:r>
    </w:p>
    <w:sectPr>
      <w:headerReference w:type="default" r:id="rId9"/>
      <w:headerReference w:type="even" r:id="rId10"/>
      <w:headerReference w:type="first" r:id="rId11"/>
      <w:footerReference w:type="default" r:id="rId12"/>
      <w:footerReference w:type="even" r:id="rId13"/>
      <w:footerReference w:type="first" r:id="rId14"/>
      <w:footnotePr/>
      <w:endnotePr/>
      <w:type w:val="nextPage"/>
      <w:pgSz w:w="11906" w:h="16838" w:orient="portrait"/>
      <w:pgMar w:top="1134" w:right="567" w:bottom="1134" w:left="993" w:header="397" w:footer="510" w:gutter="0"/>
      <w:cols w:num="1" w:sep="0" w:space="708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</w:font>
  <w:font w:name="Symbol">
    <w:panose1 w:val="05050102010706020507"/>
  </w:font>
  <w:font w:name="Calibri">
    <w:panose1 w:val="020F0502020204030204"/>
  </w:font>
  <w:font w:name="Times New Roman">
    <w:panose1 w:val="02020603050405020304"/>
  </w:font>
  <w:font w:name="MS Mincho">
    <w:panose1 w:val="02020503050405090304"/>
  </w:font>
  <w:font w:name="Tahoma">
    <w:panose1 w:val="020B0604030504040204"/>
  </w:font>
  <w:font w:name="Courier New">
    <w:panose1 w:val="02070309020205020404"/>
  </w:font>
  <w:font w:name="Arial">
    <w:panose1 w:val="020B0604020202020204"/>
  </w:font>
  <w:font w:name="Cambria">
    <w:panose1 w:val="020405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40"/>
    </w:pPr>
    <w:r/>
    <w:r/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40"/>
    </w:pPr>
    <w:r/>
    <w:r/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40"/>
    </w:pPr>
    <w:r/>
    <w:r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sdt>
    <w:sdtPr>
      <w15:appearance w15:val="boundingBox"/>
      <w:id w:val="-977912399"/>
      <w:docPartObj>
        <w:docPartGallery w:val="Page Numbers (Top of Page)"/>
        <w:docPartUnique w:val="true"/>
      </w:docPartObj>
      <w:rPr/>
    </w:sdtPr>
    <w:sdtContent>
      <w:p>
        <w:pPr>
          <w:pStyle w:val="838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t xml:space="preserve">20</w:t>
        </w:r>
        <w:r>
          <w:fldChar w:fldCharType="end"/>
        </w:r>
        <w:r/>
      </w:p>
    </w:sdtContent>
  </w:sdt>
  <w:p>
    <w:pPr>
      <w:pStyle w:val="838"/>
    </w:pPr>
    <w:r/>
    <w:r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38"/>
      <w:rPr>
        <w:rStyle w:val="1005"/>
      </w:rPr>
      <w:framePr w:wrap="around" w:vAnchor="text" w:hAnchor="margin" w:xAlign="center" w:y="1"/>
    </w:pPr>
    <w:r>
      <w:rPr>
        <w:rStyle w:val="1005"/>
      </w:rPr>
      <w:fldChar w:fldCharType="begin"/>
    </w:r>
    <w:r>
      <w:rPr>
        <w:rStyle w:val="1005"/>
      </w:rPr>
      <w:instrText xml:space="preserve">PAGE  </w:instrText>
    </w:r>
    <w:r>
      <w:rPr>
        <w:rStyle w:val="1005"/>
      </w:rPr>
      <w:fldChar w:fldCharType="separate"/>
    </w:r>
    <w:r>
      <w:rPr>
        <w:rStyle w:val="1005"/>
      </w:rPr>
      <w:t xml:space="preserve">2</w:t>
    </w:r>
    <w:r>
      <w:rPr>
        <w:rStyle w:val="1005"/>
      </w:rPr>
      <w:fldChar w:fldCharType="end"/>
    </w:r>
    <w:r>
      <w:rPr>
        <w:rStyle w:val="1005"/>
      </w:rPr>
    </w:r>
    <w:r>
      <w:rPr>
        <w:rStyle w:val="1005"/>
      </w:rPr>
    </w:r>
  </w:p>
  <w:p>
    <w:pPr>
      <w:pStyle w:val="838"/>
    </w:pPr>
    <w:r/>
    <w:r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38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080" w:hanging="360"/>
        <w:tabs>
          <w:tab w:val="num" w:pos="1080" w:leader="none"/>
        </w:tabs>
      </w:pPr>
      <w:rPr>
        <w:rFonts w:ascii="Symbol" w:hAnsi="Symbol"/>
        <w:color w:val="000000"/>
        <w:sz w:val="24"/>
      </w:rPr>
    </w:lvl>
    <w:lvl w:ilvl="1">
      <w:start w:val="1"/>
      <w:numFmt w:val="bullet"/>
      <w:isLgl w:val="false"/>
      <w:suff w:val="tab"/>
      <w:lvlText w:val="o"/>
      <w:lvlJc w:val="left"/>
      <w:pPr>
        <w:ind w:left="2160" w:hanging="360"/>
        <w:tabs>
          <w:tab w:val="num" w:pos="2160" w:leader="none"/>
        </w:tabs>
      </w:pPr>
      <w:rPr>
        <w:rFonts w:ascii="Courier New" w:hAnsi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80" w:hanging="360"/>
        <w:tabs>
          <w:tab w:val="num" w:pos="2880" w:leader="none"/>
        </w:tabs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600" w:hanging="360"/>
        <w:tabs>
          <w:tab w:val="num" w:pos="3600" w:leader="none"/>
        </w:tabs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20" w:hanging="360"/>
        <w:tabs>
          <w:tab w:val="num" w:pos="4320" w:leader="none"/>
        </w:tabs>
      </w:pPr>
      <w:rPr>
        <w:rFonts w:ascii="Courier New" w:hAnsi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40" w:hanging="360"/>
        <w:tabs>
          <w:tab w:val="num" w:pos="5040" w:leader="none"/>
        </w:tabs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60" w:hanging="360"/>
        <w:tabs>
          <w:tab w:val="num" w:pos="5760" w:leader="none"/>
        </w:tabs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80" w:hanging="360"/>
        <w:tabs>
          <w:tab w:val="num" w:pos="6480" w:leader="none"/>
        </w:tabs>
      </w:pPr>
      <w:rPr>
        <w:rFonts w:ascii="Courier New" w:hAnsi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200" w:hanging="360"/>
        <w:tabs>
          <w:tab w:val="num" w:pos="7200" w:leader="none"/>
        </w:tabs>
      </w:pPr>
      <w:rPr>
        <w:rFonts w:ascii="Wingdings" w:hAnsi="Wingdings"/>
      </w:rPr>
    </w:lvl>
  </w:abstractNum>
  <w:abstractNum w:abstractNumId="1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709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1429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49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69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589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09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29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49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69" w:hanging="360"/>
      </w:pPr>
      <w:rPr>
        <w:rFonts w:hint="default" w:ascii="Wingdings" w:hAnsi="Wingdings" w:eastAsia="Wingdings" w:cs="Wingdings"/>
      </w:r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80" w:hanging="420"/>
        <w:tabs>
          <w:tab w:val="num" w:pos="780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  <w:tabs>
          <w:tab w:val="num" w:pos="6480" w:leader="none"/>
        </w:tabs>
      </w:pPr>
    </w:lvl>
  </w:abstractNum>
  <w:abstractNum w:abstractNumId="3">
    <w:multiLevelType w:val="hybridMultilevel"/>
    <w:lvl w:ilvl="0">
      <w:start w:val="1"/>
      <w:numFmt w:val="bullet"/>
      <w:isLgl w:val="false"/>
      <w:suff w:val="tab"/>
      <w:lvlText w:val=""/>
      <w:lvlJc w:val="left"/>
      <w:pPr>
        <w:ind w:left="72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5">
    <w:multiLevelType w:val="hybridMultilevel"/>
    <w:lvl w:ilvl="0">
      <w:start w:val="1"/>
      <w:numFmt w:val="bullet"/>
      <w:isLgl w:val="false"/>
      <w:suff w:val="tab"/>
      <w:lvlText w:val=""/>
      <w:lvlJc w:val="left"/>
      <w:pPr>
        <w:ind w:left="72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709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1429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49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69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589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09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29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49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69" w:hanging="360"/>
      </w:pPr>
      <w:rPr>
        <w:rFonts w:hint="default" w:ascii="Wingdings" w:hAnsi="Wingdings" w:eastAsia="Wingdings" w:cs="Wingdings"/>
      </w:rPr>
    </w:lvl>
  </w:abstractNum>
  <w:abstractNum w:abstractNumId="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158" w:hanging="450"/>
        <w:tabs>
          <w:tab w:val="num" w:pos="1158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788" w:hanging="360"/>
        <w:tabs>
          <w:tab w:val="num" w:pos="1788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508" w:hanging="180"/>
        <w:tabs>
          <w:tab w:val="num" w:pos="2508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3228" w:hanging="360"/>
        <w:tabs>
          <w:tab w:val="num" w:pos="3228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948" w:hanging="360"/>
        <w:tabs>
          <w:tab w:val="num" w:pos="3948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668" w:hanging="180"/>
        <w:tabs>
          <w:tab w:val="num" w:pos="4668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388" w:hanging="360"/>
        <w:tabs>
          <w:tab w:val="num" w:pos="5388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6108" w:hanging="360"/>
        <w:tabs>
          <w:tab w:val="num" w:pos="6108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828" w:hanging="180"/>
        <w:tabs>
          <w:tab w:val="num" w:pos="6828" w:leader="none"/>
        </w:tabs>
      </w:pPr>
    </w:lvl>
  </w:abstractNum>
  <w:abstractNum w:abstractNumId="8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  <w:tabs>
          <w:tab w:val="num" w:pos="720" w:leader="none"/>
        </w:tabs>
      </w:pPr>
      <w:rPr>
        <w:rFonts w:hint="default" w:ascii="Symbol" w:hAnsi="Symbol"/>
        <w:sz w:val="20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  <w:tabs>
          <w:tab w:val="num" w:pos="1440" w:leader="none"/>
        </w:tabs>
      </w:pPr>
      <w:rPr>
        <w:rFonts w:hint="default" w:ascii="Courier New" w:hAnsi="Courier New"/>
        <w:sz w:val="20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  <w:tabs>
          <w:tab w:val="num" w:pos="2160" w:leader="none"/>
        </w:tabs>
      </w:pPr>
      <w:rPr>
        <w:rFonts w:hint="default" w:ascii="Wingdings" w:hAnsi="Wingdings"/>
        <w:sz w:val="20"/>
      </w:rPr>
    </w:lvl>
    <w:lvl w:ilvl="3">
      <w:start w:val="1"/>
      <w:numFmt w:val="bullet"/>
      <w:isLgl w:val="false"/>
      <w:suff w:val="tab"/>
      <w:lvlText w:val=""/>
      <w:lvlJc w:val="left"/>
      <w:pPr>
        <w:ind w:left="2880" w:hanging="360"/>
        <w:tabs>
          <w:tab w:val="num" w:pos="2880" w:leader="none"/>
        </w:tabs>
      </w:pPr>
      <w:rPr>
        <w:rFonts w:hint="default" w:ascii="Wingdings" w:hAnsi="Wingdings"/>
        <w:sz w:val="20"/>
      </w:rPr>
    </w:lvl>
    <w:lvl w:ilvl="4">
      <w:start w:val="1"/>
      <w:numFmt w:val="bullet"/>
      <w:isLgl w:val="false"/>
      <w:suff w:val="tab"/>
      <w:lvlText w:val=""/>
      <w:lvlJc w:val="left"/>
      <w:pPr>
        <w:ind w:left="3600" w:hanging="360"/>
        <w:tabs>
          <w:tab w:val="num" w:pos="3600" w:leader="none"/>
        </w:tabs>
      </w:pPr>
      <w:rPr>
        <w:rFonts w:hint="default" w:ascii="Wingdings" w:hAnsi="Wingdings"/>
        <w:sz w:val="20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  <w:tabs>
          <w:tab w:val="num" w:pos="4320" w:leader="none"/>
        </w:tabs>
      </w:pPr>
      <w:rPr>
        <w:rFonts w:hint="default" w:ascii="Wingdings" w:hAnsi="Wingdings"/>
        <w:sz w:val="20"/>
      </w:rPr>
    </w:lvl>
    <w:lvl w:ilvl="6">
      <w:start w:val="1"/>
      <w:numFmt w:val="bullet"/>
      <w:isLgl w:val="false"/>
      <w:suff w:val="tab"/>
      <w:lvlText w:val=""/>
      <w:lvlJc w:val="left"/>
      <w:pPr>
        <w:ind w:left="5040" w:hanging="360"/>
        <w:tabs>
          <w:tab w:val="num" w:pos="5040" w:leader="none"/>
        </w:tabs>
      </w:pPr>
      <w:rPr>
        <w:rFonts w:hint="default" w:ascii="Wingdings" w:hAnsi="Wingdings"/>
        <w:sz w:val="20"/>
      </w:rPr>
    </w:lvl>
    <w:lvl w:ilvl="7">
      <w:start w:val="1"/>
      <w:numFmt w:val="bullet"/>
      <w:isLgl w:val="false"/>
      <w:suff w:val="tab"/>
      <w:lvlText w:val=""/>
      <w:lvlJc w:val="left"/>
      <w:pPr>
        <w:ind w:left="5760" w:hanging="360"/>
        <w:tabs>
          <w:tab w:val="num" w:pos="5760" w:leader="none"/>
        </w:tabs>
      </w:pPr>
      <w:rPr>
        <w:rFonts w:hint="default" w:ascii="Wingdings" w:hAnsi="Wingdings"/>
        <w:sz w:val="20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  <w:tabs>
          <w:tab w:val="num" w:pos="6480" w:leader="none"/>
        </w:tabs>
      </w:pPr>
      <w:rPr>
        <w:rFonts w:hint="default" w:ascii="Wingdings" w:hAnsi="Wingdings"/>
        <w:sz w:val="20"/>
      </w:rPr>
    </w:lvl>
  </w:abstractNum>
  <w:abstractNum w:abstractNumId="9">
    <w:multiLevelType w:val="hybridMultilevel"/>
    <w:lvl w:ilvl="0">
      <w:start w:val="3"/>
      <w:numFmt w:val="decimal"/>
      <w:isLgl w:val="false"/>
      <w:suff w:val="tab"/>
      <w:lvlText w:val="%1."/>
      <w:lvlJc w:val="left"/>
      <w:pPr>
        <w:ind w:left="420" w:hanging="420"/>
        <w:tabs>
          <w:tab w:val="num" w:pos="420" w:leader="none"/>
        </w:tabs>
      </w:pPr>
    </w:lvl>
    <w:lvl w:ilvl="1">
      <w:start w:val="1"/>
      <w:numFmt w:val="decimal"/>
      <w:isLgl w:val="false"/>
      <w:suff w:val="tab"/>
      <w:lvlText w:val="%1.%2."/>
      <w:lvlJc w:val="left"/>
      <w:pPr>
        <w:ind w:left="720" w:hanging="720"/>
        <w:tabs>
          <w:tab w:val="num" w:pos="720" w:leader="none"/>
        </w:tabs>
      </w:pPr>
    </w:lvl>
    <w:lvl w:ilvl="2">
      <w:start w:val="1"/>
      <w:numFmt w:val="decimal"/>
      <w:isLgl w:val="false"/>
      <w:suff w:val="tab"/>
      <w:lvlText w:val="%1.%2.%3."/>
      <w:lvlJc w:val="left"/>
      <w:pPr>
        <w:ind w:left="1260" w:hanging="720"/>
        <w:tabs>
          <w:tab w:val="num" w:pos="1260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080" w:hanging="1080"/>
        <w:tabs>
          <w:tab w:val="num" w:pos="1080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1080" w:hanging="1080"/>
        <w:tabs>
          <w:tab w:val="num" w:pos="1080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1440" w:hanging="1440"/>
        <w:tabs>
          <w:tab w:val="num" w:pos="1440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1800" w:hanging="1800"/>
        <w:tabs>
          <w:tab w:val="num" w:pos="1800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1800" w:hanging="1800"/>
        <w:tabs>
          <w:tab w:val="num" w:pos="1800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2160" w:hanging="2160"/>
        <w:tabs>
          <w:tab w:val="num" w:pos="2160" w:leader="none"/>
        </w:tabs>
      </w:pPr>
    </w:lvl>
  </w:abstractNum>
  <w:abstractNum w:abstractNumId="10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  <w:tabs>
          <w:tab w:val="num" w:pos="720" w:leader="none"/>
        </w:tabs>
      </w:pPr>
      <w:rPr>
        <w:rFonts w:hint="default" w:ascii="Symbol" w:hAnsi="Symbol"/>
        <w:sz w:val="20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  <w:tabs>
          <w:tab w:val="num" w:pos="1440" w:leader="none"/>
        </w:tabs>
      </w:pPr>
      <w:rPr>
        <w:rFonts w:hint="default" w:ascii="Courier New" w:hAnsi="Courier New"/>
        <w:sz w:val="20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  <w:tabs>
          <w:tab w:val="num" w:pos="2160" w:leader="none"/>
        </w:tabs>
      </w:pPr>
      <w:rPr>
        <w:rFonts w:hint="default" w:ascii="Wingdings" w:hAnsi="Wingdings"/>
        <w:sz w:val="20"/>
      </w:rPr>
    </w:lvl>
    <w:lvl w:ilvl="3">
      <w:start w:val="1"/>
      <w:numFmt w:val="bullet"/>
      <w:isLgl w:val="false"/>
      <w:suff w:val="tab"/>
      <w:lvlText w:val=""/>
      <w:lvlJc w:val="left"/>
      <w:pPr>
        <w:ind w:left="2880" w:hanging="360"/>
        <w:tabs>
          <w:tab w:val="num" w:pos="2880" w:leader="none"/>
        </w:tabs>
      </w:pPr>
      <w:rPr>
        <w:rFonts w:hint="default" w:ascii="Wingdings" w:hAnsi="Wingdings"/>
        <w:sz w:val="20"/>
      </w:rPr>
    </w:lvl>
    <w:lvl w:ilvl="4">
      <w:start w:val="1"/>
      <w:numFmt w:val="bullet"/>
      <w:isLgl w:val="false"/>
      <w:suff w:val="tab"/>
      <w:lvlText w:val=""/>
      <w:lvlJc w:val="left"/>
      <w:pPr>
        <w:ind w:left="3600" w:hanging="360"/>
        <w:tabs>
          <w:tab w:val="num" w:pos="3600" w:leader="none"/>
        </w:tabs>
      </w:pPr>
      <w:rPr>
        <w:rFonts w:hint="default" w:ascii="Wingdings" w:hAnsi="Wingdings"/>
        <w:sz w:val="20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  <w:tabs>
          <w:tab w:val="num" w:pos="4320" w:leader="none"/>
        </w:tabs>
      </w:pPr>
      <w:rPr>
        <w:rFonts w:hint="default" w:ascii="Wingdings" w:hAnsi="Wingdings"/>
        <w:sz w:val="20"/>
      </w:rPr>
    </w:lvl>
    <w:lvl w:ilvl="6">
      <w:start w:val="1"/>
      <w:numFmt w:val="bullet"/>
      <w:isLgl w:val="false"/>
      <w:suff w:val="tab"/>
      <w:lvlText w:val=""/>
      <w:lvlJc w:val="left"/>
      <w:pPr>
        <w:ind w:left="5040" w:hanging="360"/>
        <w:tabs>
          <w:tab w:val="num" w:pos="5040" w:leader="none"/>
        </w:tabs>
      </w:pPr>
      <w:rPr>
        <w:rFonts w:hint="default" w:ascii="Wingdings" w:hAnsi="Wingdings"/>
        <w:sz w:val="20"/>
      </w:rPr>
    </w:lvl>
    <w:lvl w:ilvl="7">
      <w:start w:val="1"/>
      <w:numFmt w:val="bullet"/>
      <w:isLgl w:val="false"/>
      <w:suff w:val="tab"/>
      <w:lvlText w:val=""/>
      <w:lvlJc w:val="left"/>
      <w:pPr>
        <w:ind w:left="5760" w:hanging="360"/>
        <w:tabs>
          <w:tab w:val="num" w:pos="5760" w:leader="none"/>
        </w:tabs>
      </w:pPr>
      <w:rPr>
        <w:rFonts w:hint="default" w:ascii="Wingdings" w:hAnsi="Wingdings"/>
        <w:sz w:val="20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  <w:tabs>
          <w:tab w:val="num" w:pos="6480" w:leader="none"/>
        </w:tabs>
      </w:pPr>
      <w:rPr>
        <w:rFonts w:hint="default" w:ascii="Wingdings" w:hAnsi="Wingdings"/>
        <w:sz w:val="20"/>
      </w:rPr>
    </w:lvl>
  </w:abstractNum>
  <w:abstractNum w:abstractNumId="1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  <w:tabs>
          <w:tab w:val="num" w:pos="6480" w:leader="none"/>
        </w:tabs>
      </w:pPr>
    </w:lvl>
  </w:abstractNum>
  <w:abstractNum w:abstractNumId="12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1418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2138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858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3578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4298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5018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738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58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7178" w:hanging="360"/>
      </w:pPr>
      <w:rPr>
        <w:rFonts w:hint="default" w:ascii="Wingdings" w:hAnsi="Wingdings" w:eastAsia="Wingdings" w:cs="Wingdings"/>
      </w:rPr>
    </w:lvl>
  </w:abstractNum>
  <w:abstractNum w:abstractNumId="13">
    <w:multiLevelType w:val="hybridMultilevel"/>
    <w:lvl w:ilvl="0">
      <w:start w:val="1"/>
      <w:numFmt w:val="decimal"/>
      <w:isLgl w:val="false"/>
      <w:suff w:val="tab"/>
      <w:lvlText w:val="%1."/>
      <w:lvlJc w:val="left"/>
      <w:pPr/>
      <w:rPr>
        <w:rFonts w:ascii="Times New Roman" w:hAnsi="Times New Roman" w:eastAsia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4"/>
        <w:szCs w:val="24"/>
        <w:u w:val="none"/>
        <w:shd w:val="clear" w:color="auto" w:fill="auto"/>
      </w:rPr>
    </w:lvl>
    <w:lvl w:ilvl="1">
      <w:start w:val="1"/>
      <w:numFmt w:val="decimal"/>
      <w:isLgl w:val="false"/>
      <w:suff w:val="tab"/>
      <w:lvlText w:val=""/>
      <w:lvlJc w:val="left"/>
      <w:pPr/>
    </w:lvl>
    <w:lvl w:ilvl="2">
      <w:start w:val="1"/>
      <w:numFmt w:val="decimal"/>
      <w:isLgl w:val="false"/>
      <w:suff w:val="tab"/>
      <w:lvlText w:val=""/>
      <w:lvlJc w:val="left"/>
      <w:pPr/>
    </w:lvl>
    <w:lvl w:ilvl="3">
      <w:start w:val="1"/>
      <w:numFmt w:val="decimal"/>
      <w:isLgl w:val="false"/>
      <w:suff w:val="tab"/>
      <w:lvlText w:val=""/>
      <w:lvlJc w:val="left"/>
      <w:pPr/>
    </w:lvl>
    <w:lvl w:ilvl="4">
      <w:start w:val="1"/>
      <w:numFmt w:val="decimal"/>
      <w:isLgl w:val="false"/>
      <w:suff w:val="tab"/>
      <w:lvlText w:val=""/>
      <w:lvlJc w:val="left"/>
      <w:pPr/>
    </w:lvl>
    <w:lvl w:ilvl="5">
      <w:start w:val="1"/>
      <w:numFmt w:val="decimal"/>
      <w:isLgl w:val="false"/>
      <w:suff w:val="tab"/>
      <w:lvlText w:val=""/>
      <w:lvlJc w:val="left"/>
      <w:pPr/>
    </w:lvl>
    <w:lvl w:ilvl="6">
      <w:start w:val="1"/>
      <w:numFmt w:val="decimal"/>
      <w:isLgl w:val="false"/>
      <w:suff w:val="tab"/>
      <w:lvlText w:val=""/>
      <w:lvlJc w:val="left"/>
      <w:pPr/>
    </w:lvl>
    <w:lvl w:ilvl="7">
      <w:start w:val="1"/>
      <w:numFmt w:val="decimal"/>
      <w:isLgl w:val="false"/>
      <w:suff w:val="tab"/>
      <w:lvlText w:val=""/>
      <w:lvlJc w:val="left"/>
      <w:pPr/>
    </w:lvl>
    <w:lvl w:ilvl="8">
      <w:start w:val="1"/>
      <w:numFmt w:val="decimal"/>
      <w:isLgl w:val="false"/>
      <w:suff w:val="tab"/>
      <w:lvlText w:val=""/>
      <w:lvlJc w:val="left"/>
      <w:pPr/>
    </w:lvl>
  </w:abstractNum>
  <w:abstractNum w:abstractNumId="1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</w:lvl>
    <w:lvl w:ilvl="1">
      <w:start w:val="1"/>
      <w:numFmt w:val="decimal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60" w:hanging="36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320" w:hanging="36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480" w:hanging="360"/>
        <w:tabs>
          <w:tab w:val="num" w:pos="6480" w:leader="none"/>
        </w:tabs>
      </w:pPr>
    </w:lvl>
  </w:abstractNum>
  <w:abstractNum w:abstractNumId="15">
    <w:multiLevelType w:val="hybridMultilevel"/>
    <w:lvl w:ilvl="0">
      <w:start w:val="3"/>
      <w:numFmt w:val="decimal"/>
      <w:pStyle w:val="995"/>
      <w:isLgl w:val="false"/>
      <w:suff w:val="tab"/>
      <w:lvlText w:val="%1."/>
      <w:lvlJc w:val="left"/>
      <w:pPr>
        <w:ind w:left="420" w:hanging="420"/>
        <w:tabs>
          <w:tab w:val="num" w:pos="420" w:leader="none"/>
        </w:tabs>
      </w:pPr>
    </w:lvl>
    <w:lvl w:ilvl="1">
      <w:start w:val="1"/>
      <w:numFmt w:val="decimal"/>
      <w:isLgl w:val="false"/>
      <w:suff w:val="tab"/>
      <w:lvlText w:val="%1.%2."/>
      <w:lvlJc w:val="left"/>
      <w:pPr>
        <w:ind w:left="720" w:hanging="720"/>
        <w:tabs>
          <w:tab w:val="num" w:pos="720" w:leader="none"/>
        </w:tabs>
      </w:pPr>
    </w:lvl>
    <w:lvl w:ilvl="2">
      <w:start w:val="1"/>
      <w:numFmt w:val="decimal"/>
      <w:isLgl w:val="false"/>
      <w:suff w:val="tab"/>
      <w:lvlText w:val="%1.%2.%3."/>
      <w:lvlJc w:val="left"/>
      <w:pPr>
        <w:ind w:left="1260" w:hanging="720"/>
        <w:tabs>
          <w:tab w:val="num" w:pos="1260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080" w:hanging="1080"/>
        <w:tabs>
          <w:tab w:val="num" w:pos="1080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1080" w:hanging="1080"/>
        <w:tabs>
          <w:tab w:val="num" w:pos="1080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1440" w:hanging="1440"/>
        <w:tabs>
          <w:tab w:val="num" w:pos="1440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1800" w:hanging="1800"/>
        <w:tabs>
          <w:tab w:val="num" w:pos="1800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1800" w:hanging="1800"/>
        <w:tabs>
          <w:tab w:val="num" w:pos="1800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2160" w:hanging="2160"/>
        <w:tabs>
          <w:tab w:val="num" w:pos="2160" w:leader="none"/>
        </w:tabs>
      </w:pPr>
    </w:lvl>
  </w:abstractNum>
  <w:abstractNum w:abstractNumId="1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</w:lvl>
    <w:lvl w:ilvl="1">
      <w:start w:val="1"/>
      <w:numFmt w:val="decimal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60" w:hanging="36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320" w:hanging="36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480" w:hanging="360"/>
        <w:tabs>
          <w:tab w:val="num" w:pos="6480" w:leader="none"/>
        </w:tabs>
      </w:pPr>
    </w:lvl>
  </w:abstractNum>
  <w:num w:numId="1">
    <w:abstractNumId w:val="0"/>
  </w:num>
  <w:num w:numId="2">
    <w:abstractNumId w:val="0"/>
  </w:num>
  <w:num w:numId="3">
    <w:abstractNumId w:val="9"/>
  </w:num>
  <w:num w:numId="4">
    <w:abstractNumId w:val="15"/>
  </w:num>
  <w:num w:numId="5">
    <w:abstractNumId w:val="11"/>
  </w:num>
  <w:num w:numId="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</w:num>
  <w:num w:numId="8">
    <w:abstractNumId w:val="2"/>
  </w:num>
  <w:num w:numId="9">
    <w:abstractNumId w:val="13"/>
  </w:num>
  <w:num w:numId="10">
    <w:abstractNumId w:val="10"/>
  </w:num>
  <w:num w:numId="11">
    <w:abstractNumId w:val="8"/>
  </w:num>
  <w:num w:numId="12">
    <w:abstractNumId w:val="14"/>
  </w:num>
  <w:num w:numId="13">
    <w:abstractNumId w:val="16"/>
  </w:num>
  <w:num w:numId="14">
    <w:abstractNumId w:val="4"/>
  </w:num>
  <w:num w:numId="15">
    <w:abstractNumId w:val="3"/>
  </w:num>
  <w:num w:numId="16">
    <w:abstractNumId w:val="12"/>
  </w:num>
  <w:num w:numId="17">
    <w:abstractNumId w:val="6"/>
  </w:num>
  <w:num w:numId="18">
    <w:abstractNumId w:val="5"/>
  </w:num>
  <w:num w:numId="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773" w:default="1">
    <w:name w:val="Normal"/>
    <w:qFormat/>
    <w:rPr>
      <w:sz w:val="24"/>
      <w:szCs w:val="24"/>
    </w:rPr>
  </w:style>
  <w:style w:type="paragraph" w:styleId="774">
    <w:name w:val="Heading 1"/>
    <w:basedOn w:val="773"/>
    <w:next w:val="773"/>
    <w:link w:val="989"/>
    <w:qFormat/>
    <w:pPr>
      <w:jc w:val="center"/>
      <w:keepNext/>
      <w:outlineLvl w:val="0"/>
    </w:pPr>
    <w:rPr>
      <w:b/>
      <w:bCs/>
      <w:szCs w:val="20"/>
    </w:rPr>
  </w:style>
  <w:style w:type="paragraph" w:styleId="775">
    <w:name w:val="Heading 2"/>
    <w:basedOn w:val="773"/>
    <w:next w:val="773"/>
    <w:link w:val="990"/>
    <w:qFormat/>
    <w:pPr>
      <w:jc w:val="center"/>
      <w:keepNext/>
      <w:outlineLvl w:val="1"/>
    </w:pPr>
    <w:rPr>
      <w:szCs w:val="20"/>
    </w:rPr>
  </w:style>
  <w:style w:type="paragraph" w:styleId="776">
    <w:name w:val="Heading 3"/>
    <w:basedOn w:val="773"/>
    <w:next w:val="773"/>
    <w:link w:val="821"/>
    <w:qFormat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777">
    <w:name w:val="Heading 4"/>
    <w:basedOn w:val="773"/>
    <w:next w:val="773"/>
    <w:link w:val="822"/>
    <w:qFormat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778">
    <w:name w:val="Heading 5"/>
    <w:basedOn w:val="773"/>
    <w:next w:val="773"/>
    <w:link w:val="82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</w:rPr>
  </w:style>
  <w:style w:type="paragraph" w:styleId="779">
    <w:name w:val="Heading 6"/>
    <w:basedOn w:val="773"/>
    <w:next w:val="773"/>
    <w:link w:val="8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780">
    <w:name w:val="Heading 7"/>
    <w:basedOn w:val="773"/>
    <w:next w:val="773"/>
    <w:link w:val="825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781">
    <w:name w:val="Heading 8"/>
    <w:basedOn w:val="773"/>
    <w:next w:val="773"/>
    <w:link w:val="826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782">
    <w:name w:val="Heading 9"/>
    <w:basedOn w:val="773"/>
    <w:next w:val="773"/>
    <w:link w:val="827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83" w:default="1">
    <w:name w:val="Default Paragraph Font"/>
    <w:uiPriority w:val="1"/>
    <w:semiHidden/>
    <w:unhideWhenUsed/>
  </w:style>
  <w:style w:type="table" w:styleId="784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785" w:default="1">
    <w:name w:val="No List"/>
    <w:uiPriority w:val="99"/>
    <w:semiHidden/>
    <w:unhideWhenUsed/>
  </w:style>
  <w:style w:type="table" w:styleId="786">
    <w:name w:val="Plain Table 1"/>
    <w:basedOn w:val="784"/>
    <w:uiPriority w:val="59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band1Horz"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87">
    <w:name w:val="Plain Table 2"/>
    <w:basedOn w:val="784"/>
    <w:uiPriority w:val="59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88">
    <w:name w:val="Plain Table 3"/>
    <w:basedOn w:val="784"/>
    <w:uiPriority w:val="99"/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89">
    <w:name w:val="Plain Table 4"/>
    <w:basedOn w:val="784"/>
    <w:uiPriority w:val="99"/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0">
    <w:name w:val="Plain Table 5"/>
    <w:basedOn w:val="784"/>
    <w:uiPriority w:val="99"/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91">
    <w:name w:val="Grid Table 1 Light"/>
    <w:basedOn w:val="784"/>
    <w:uiPriority w:val="99"/>
    <w:tblPr>
      <w:tblStyleRowBandSize w:val="1"/>
      <w:tblStyleColBandSize w:val="1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2">
    <w:name w:val="Grid Table 2"/>
    <w:basedOn w:val="784"/>
    <w:uiPriority w:val="99"/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3">
    <w:name w:val="Grid Table 3"/>
    <w:basedOn w:val="784"/>
    <w:uiPriority w:val="99"/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4">
    <w:name w:val="Grid Table 4"/>
    <w:basedOn w:val="784"/>
    <w:uiPriority w:val="59"/>
    <w:tblPr>
      <w:tblStyleRowBandSize w:val="1"/>
      <w:tblStyleColBandSize w:val="1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95">
    <w:name w:val="Grid Table 5 Dark"/>
    <w:basedOn w:val="784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</w:tblPr>
    <w:tblStylePr w:type="band1Horz">
      <w:tcPr>
        <w:shd w:val="clear" w:color="8a8a8a" w:themeColor="text1" w:themeTint="75" w:fill="8a8a8a" w:themeFill="text1" w:themeFillTint="75"/>
      </w:tcPr>
    </w:tblStylePr>
    <w:tblStylePr w:type="band1Vert">
      <w:tcPr>
        <w:shd w:val="clear" w:color="8a8a8a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FFFFFF" w:themeColor="light1" w:sz="4" w:space="0"/>
        </w:tcBorders>
      </w:tcPr>
    </w:tblStylePr>
  </w:style>
  <w:style w:type="table" w:styleId="796">
    <w:name w:val="Grid Table 6 Colorful"/>
    <w:basedOn w:val="784"/>
    <w:uiPriority w:val="99"/>
    <w:tblPr>
      <w:tblStyleRowBandSize w:val="1"/>
      <w:tblStyleColBandSize w:val="1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797">
    <w:name w:val="Grid Table 7 Colorful"/>
    <w:basedOn w:val="784"/>
    <w:uiPriority w:val="99"/>
    <w:tblPr>
      <w:tblStyleRowBandSize w:val="1"/>
      <w:tblStyleColBandSize w:val="1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7F7F7F" w:themeColor="text1" w:themeTint="8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0" w:space="0"/>
          <w:left w:val="single" w:color="7F7F7F" w:themeColor="text1" w:themeTint="8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98">
    <w:name w:val="List Table 1 Light"/>
    <w:basedOn w:val="784"/>
    <w:uiPriority w:val="99"/>
    <w:tblPr>
      <w:tblStyleRowBandSize w:val="1"/>
      <w:tblStyleColBandSize w:val="1"/>
    </w:tblPr>
    <w:tblStylePr w:type="band1Horz"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9">
    <w:name w:val="List Table 2"/>
    <w:basedOn w:val="784"/>
    <w:uiPriority w:val="99"/>
    <w:tblPr>
      <w:tblStyleRowBandSize w:val="1"/>
      <w:tblStyleColBandSize w:val="1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</w:style>
  <w:style w:type="table" w:styleId="800">
    <w:name w:val="List Table 3"/>
    <w:basedOn w:val="784"/>
    <w:uiPriority w:val="99"/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1">
    <w:name w:val="List Table 4"/>
    <w:basedOn w:val="784"/>
    <w:uiPriority w:val="99"/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2">
    <w:name w:val="List Table 5 Dark"/>
    <w:basedOn w:val="784"/>
    <w:uiPriority w:val="99"/>
    <w:tblPr>
      <w:tblStyleRowBandSize w:val="1"/>
      <w:tblStyleColBandSize w:val="1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</w:tblPr>
    <w:tblStylePr w:type="band1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f7f7f" w:themeColor="text1" w:themeTint="80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f7f7f" w:themeColor="text1" w:themeTint="80" w:fill="7f7f7f" w:themeFill="text1" w:themeFillTint="80"/>
        <w:tcBorders>
          <w:top w:val="single" w:color="7F7F7F" w:themeColor="text1" w:themeTint="80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03">
    <w:name w:val="List Table 6 Colorful"/>
    <w:basedOn w:val="784"/>
    <w:uiPriority w:val="99"/>
    <w:tblPr>
      <w:tblStyleRowBandSize w:val="1"/>
      <w:tblStyleColBandSize w:val="1"/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band1Horz">
      <w:rPr>
        <w:rFonts w:ascii="Arial" w:hAnsi="Arial"/>
        <w:color w:val="000000" w:themeColor="text1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</w:style>
  <w:style w:type="table" w:styleId="804">
    <w:name w:val="List Table 7 Colorful"/>
    <w:basedOn w:val="784"/>
    <w:uiPriority w:val="99"/>
    <w:tblPr>
      <w:tblStyleRowBandSize w:val="1"/>
      <w:tblStyleColBandSize w:val="1"/>
      <w:tblBorders>
        <w:right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7F7F7F" w:themeColor="text1" w:themeTint="8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0" w:space="0"/>
          <w:left w:val="single" w:color="7F7F7F" w:themeColor="text1" w:themeTint="8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character" w:styleId="805" w:customStyle="1">
    <w:name w:val="Heading 3 Char"/>
    <w:uiPriority w:val="9"/>
    <w:rPr>
      <w:rFonts w:ascii="Arial" w:hAnsi="Arial" w:eastAsia="Arial" w:cs="Arial"/>
      <w:sz w:val="30"/>
      <w:szCs w:val="30"/>
    </w:rPr>
  </w:style>
  <w:style w:type="character" w:styleId="806" w:customStyle="1">
    <w:name w:val="Heading 4 Char"/>
    <w:uiPriority w:val="9"/>
    <w:rPr>
      <w:rFonts w:ascii="Arial" w:hAnsi="Arial" w:eastAsia="Arial" w:cs="Arial"/>
      <w:b/>
      <w:bCs/>
      <w:sz w:val="26"/>
      <w:szCs w:val="26"/>
    </w:rPr>
  </w:style>
  <w:style w:type="character" w:styleId="807" w:customStyle="1">
    <w:name w:val="Heading 5 Char"/>
    <w:uiPriority w:val="9"/>
    <w:rPr>
      <w:rFonts w:ascii="Arial" w:hAnsi="Arial" w:eastAsia="Arial" w:cs="Arial"/>
      <w:b/>
      <w:bCs/>
      <w:sz w:val="24"/>
      <w:szCs w:val="24"/>
    </w:rPr>
  </w:style>
  <w:style w:type="character" w:styleId="808" w:customStyle="1">
    <w:name w:val="Heading 6 Char"/>
    <w:uiPriority w:val="9"/>
    <w:rPr>
      <w:rFonts w:ascii="Arial" w:hAnsi="Arial" w:eastAsia="Arial" w:cs="Arial"/>
      <w:b/>
      <w:bCs/>
      <w:sz w:val="22"/>
      <w:szCs w:val="22"/>
    </w:rPr>
  </w:style>
  <w:style w:type="character" w:styleId="809" w:customStyle="1">
    <w:name w:val="Heading 7 Char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810" w:customStyle="1">
    <w:name w:val="Heading 8 Char"/>
    <w:uiPriority w:val="9"/>
    <w:rPr>
      <w:rFonts w:ascii="Arial" w:hAnsi="Arial" w:eastAsia="Arial" w:cs="Arial"/>
      <w:i/>
      <w:iCs/>
      <w:sz w:val="22"/>
      <w:szCs w:val="22"/>
    </w:rPr>
  </w:style>
  <w:style w:type="character" w:styleId="811" w:customStyle="1">
    <w:name w:val="Heading 9 Char"/>
    <w:uiPriority w:val="9"/>
    <w:rPr>
      <w:rFonts w:ascii="Arial" w:hAnsi="Arial" w:eastAsia="Arial" w:cs="Arial"/>
      <w:i/>
      <w:iCs/>
      <w:sz w:val="21"/>
      <w:szCs w:val="21"/>
    </w:rPr>
  </w:style>
  <w:style w:type="character" w:styleId="812" w:customStyle="1">
    <w:name w:val="Title Char"/>
    <w:uiPriority w:val="10"/>
    <w:rPr>
      <w:sz w:val="48"/>
      <w:szCs w:val="48"/>
    </w:rPr>
  </w:style>
  <w:style w:type="character" w:styleId="813" w:customStyle="1">
    <w:name w:val="Subtitle Char"/>
    <w:uiPriority w:val="11"/>
    <w:rPr>
      <w:sz w:val="24"/>
      <w:szCs w:val="24"/>
    </w:rPr>
  </w:style>
  <w:style w:type="character" w:styleId="814" w:customStyle="1">
    <w:name w:val="Quote Char"/>
    <w:uiPriority w:val="29"/>
    <w:rPr>
      <w:i/>
    </w:rPr>
  </w:style>
  <w:style w:type="character" w:styleId="815" w:customStyle="1">
    <w:name w:val="Intense Quote Char"/>
    <w:uiPriority w:val="30"/>
    <w:rPr>
      <w:i/>
    </w:rPr>
  </w:style>
  <w:style w:type="character" w:styleId="816" w:customStyle="1">
    <w:name w:val="Header Char"/>
    <w:basedOn w:val="783"/>
    <w:uiPriority w:val="99"/>
  </w:style>
  <w:style w:type="character" w:styleId="817" w:customStyle="1">
    <w:name w:val="Footnote Text Char"/>
    <w:uiPriority w:val="99"/>
    <w:rPr>
      <w:sz w:val="18"/>
    </w:rPr>
  </w:style>
  <w:style w:type="character" w:styleId="818" w:customStyle="1">
    <w:name w:val="Endnote Text Char"/>
    <w:uiPriority w:val="99"/>
    <w:rPr>
      <w:sz w:val="20"/>
    </w:rPr>
  </w:style>
  <w:style w:type="character" w:styleId="819" w:customStyle="1">
    <w:name w:val="Heading 1 Char"/>
    <w:uiPriority w:val="9"/>
    <w:rPr>
      <w:rFonts w:ascii="Arial" w:hAnsi="Arial" w:eastAsia="Arial" w:cs="Arial"/>
      <w:sz w:val="40"/>
      <w:szCs w:val="40"/>
    </w:rPr>
  </w:style>
  <w:style w:type="character" w:styleId="820" w:customStyle="1">
    <w:name w:val="Heading 2 Char"/>
    <w:uiPriority w:val="9"/>
    <w:rPr>
      <w:rFonts w:ascii="Arial" w:hAnsi="Arial" w:eastAsia="Arial" w:cs="Arial"/>
      <w:sz w:val="34"/>
    </w:rPr>
  </w:style>
  <w:style w:type="character" w:styleId="821" w:customStyle="1">
    <w:name w:val="Заголовок 3 Знак"/>
    <w:link w:val="776"/>
    <w:uiPriority w:val="9"/>
    <w:rPr>
      <w:rFonts w:ascii="Arial" w:hAnsi="Arial" w:eastAsia="Arial" w:cs="Arial"/>
      <w:sz w:val="30"/>
      <w:szCs w:val="30"/>
    </w:rPr>
  </w:style>
  <w:style w:type="character" w:styleId="822" w:customStyle="1">
    <w:name w:val="Заголовок 4 Знак"/>
    <w:link w:val="777"/>
    <w:uiPriority w:val="9"/>
    <w:rPr>
      <w:rFonts w:ascii="Arial" w:hAnsi="Arial" w:eastAsia="Arial" w:cs="Arial"/>
      <w:b/>
      <w:bCs/>
      <w:sz w:val="26"/>
      <w:szCs w:val="26"/>
    </w:rPr>
  </w:style>
  <w:style w:type="character" w:styleId="823" w:customStyle="1">
    <w:name w:val="Заголовок 5 Знак"/>
    <w:link w:val="778"/>
    <w:uiPriority w:val="9"/>
    <w:rPr>
      <w:rFonts w:ascii="Arial" w:hAnsi="Arial" w:eastAsia="Arial" w:cs="Arial"/>
      <w:b/>
      <w:bCs/>
      <w:sz w:val="24"/>
      <w:szCs w:val="24"/>
    </w:rPr>
  </w:style>
  <w:style w:type="character" w:styleId="824" w:customStyle="1">
    <w:name w:val="Заголовок 6 Знак"/>
    <w:link w:val="779"/>
    <w:uiPriority w:val="9"/>
    <w:rPr>
      <w:rFonts w:ascii="Arial" w:hAnsi="Arial" w:eastAsia="Arial" w:cs="Arial"/>
      <w:b/>
      <w:bCs/>
      <w:sz w:val="22"/>
      <w:szCs w:val="22"/>
    </w:rPr>
  </w:style>
  <w:style w:type="character" w:styleId="825" w:customStyle="1">
    <w:name w:val="Заголовок 7 Знак"/>
    <w:link w:val="780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826" w:customStyle="1">
    <w:name w:val="Заголовок 8 Знак"/>
    <w:link w:val="781"/>
    <w:uiPriority w:val="9"/>
    <w:rPr>
      <w:rFonts w:ascii="Arial" w:hAnsi="Arial" w:eastAsia="Arial" w:cs="Arial"/>
      <w:i/>
      <w:iCs/>
      <w:sz w:val="22"/>
      <w:szCs w:val="22"/>
    </w:rPr>
  </w:style>
  <w:style w:type="character" w:styleId="827" w:customStyle="1">
    <w:name w:val="Заголовок 9 Знак"/>
    <w:link w:val="782"/>
    <w:uiPriority w:val="9"/>
    <w:rPr>
      <w:rFonts w:ascii="Arial" w:hAnsi="Arial" w:eastAsia="Arial" w:cs="Arial"/>
      <w:i/>
      <w:iCs/>
      <w:sz w:val="21"/>
      <w:szCs w:val="21"/>
    </w:rPr>
  </w:style>
  <w:style w:type="paragraph" w:styleId="828">
    <w:name w:val="List Paragraph"/>
    <w:basedOn w:val="773"/>
    <w:qFormat/>
    <w:pPr>
      <w:contextualSpacing/>
      <w:ind w:left="720" w:firstLine="660"/>
      <w:jc w:val="both"/>
      <w:spacing w:line="300" w:lineRule="auto"/>
      <w:widowControl w:val="off"/>
    </w:pPr>
    <w:rPr>
      <w:sz w:val="28"/>
      <w:szCs w:val="20"/>
    </w:rPr>
  </w:style>
  <w:style w:type="paragraph" w:styleId="829">
    <w:name w:val="No Spacing"/>
    <w:uiPriority w:val="1"/>
    <w:qFormat/>
    <w:rPr>
      <w:lang w:eastAsia="zh-CN"/>
    </w:rPr>
  </w:style>
  <w:style w:type="paragraph" w:styleId="830">
    <w:name w:val="Title"/>
    <w:basedOn w:val="773"/>
    <w:next w:val="773"/>
    <w:link w:val="831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831" w:customStyle="1">
    <w:name w:val="Заголовок Знак"/>
    <w:link w:val="830"/>
    <w:uiPriority w:val="10"/>
    <w:rPr>
      <w:sz w:val="48"/>
      <w:szCs w:val="48"/>
    </w:rPr>
  </w:style>
  <w:style w:type="paragraph" w:styleId="832">
    <w:name w:val="Subtitle"/>
    <w:basedOn w:val="773"/>
    <w:next w:val="773"/>
    <w:link w:val="833"/>
    <w:uiPriority w:val="11"/>
    <w:qFormat/>
    <w:pPr>
      <w:spacing w:before="200" w:after="200"/>
    </w:pPr>
  </w:style>
  <w:style w:type="character" w:styleId="833" w:customStyle="1">
    <w:name w:val="Подзаголовок Знак"/>
    <w:link w:val="832"/>
    <w:uiPriority w:val="11"/>
    <w:rPr>
      <w:sz w:val="24"/>
      <w:szCs w:val="24"/>
    </w:rPr>
  </w:style>
  <w:style w:type="paragraph" w:styleId="834">
    <w:name w:val="Quote"/>
    <w:basedOn w:val="773"/>
    <w:next w:val="773"/>
    <w:link w:val="835"/>
    <w:uiPriority w:val="29"/>
    <w:qFormat/>
    <w:pPr>
      <w:ind w:left="720" w:right="720"/>
    </w:pPr>
    <w:rPr>
      <w:i/>
    </w:rPr>
  </w:style>
  <w:style w:type="character" w:styleId="835" w:customStyle="1">
    <w:name w:val="Цитата 2 Знак"/>
    <w:link w:val="834"/>
    <w:uiPriority w:val="29"/>
    <w:rPr>
      <w:i/>
    </w:rPr>
  </w:style>
  <w:style w:type="paragraph" w:styleId="836">
    <w:name w:val="Intense Quote"/>
    <w:basedOn w:val="773"/>
    <w:next w:val="773"/>
    <w:link w:val="837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837" w:customStyle="1">
    <w:name w:val="Выделенная цитата Знак"/>
    <w:link w:val="836"/>
    <w:uiPriority w:val="30"/>
    <w:rPr>
      <w:i/>
    </w:rPr>
  </w:style>
  <w:style w:type="paragraph" w:styleId="838">
    <w:name w:val="Header"/>
    <w:basedOn w:val="773"/>
    <w:link w:val="839"/>
    <w:uiPriority w:val="99"/>
    <w:pPr>
      <w:tabs>
        <w:tab w:val="center" w:pos="4677" w:leader="none"/>
        <w:tab w:val="right" w:pos="9355" w:leader="none"/>
      </w:tabs>
    </w:pPr>
  </w:style>
  <w:style w:type="character" w:styleId="839" w:customStyle="1">
    <w:name w:val="Верхний колонтитул Знак"/>
    <w:link w:val="838"/>
    <w:uiPriority w:val="99"/>
  </w:style>
  <w:style w:type="paragraph" w:styleId="840">
    <w:name w:val="Footer"/>
    <w:basedOn w:val="773"/>
    <w:link w:val="1019"/>
    <w:pPr>
      <w:tabs>
        <w:tab w:val="center" w:pos="4677" w:leader="none"/>
        <w:tab w:val="right" w:pos="9355" w:leader="none"/>
      </w:tabs>
    </w:pPr>
  </w:style>
  <w:style w:type="character" w:styleId="841" w:customStyle="1">
    <w:name w:val="Footer Char"/>
    <w:uiPriority w:val="99"/>
  </w:style>
  <w:style w:type="paragraph" w:styleId="842">
    <w:name w:val="Caption"/>
    <w:basedOn w:val="773"/>
    <w:next w:val="773"/>
    <w:uiPriority w:val="35"/>
    <w:semiHidden/>
    <w:unhideWhenUsed/>
    <w:qFormat/>
    <w:pPr>
      <w:spacing w:line="276" w:lineRule="auto"/>
    </w:pPr>
    <w:rPr>
      <w:b/>
      <w:bCs/>
      <w:color w:val="4f81bd"/>
      <w:sz w:val="18"/>
      <w:szCs w:val="18"/>
    </w:rPr>
  </w:style>
  <w:style w:type="character" w:styleId="843" w:customStyle="1">
    <w:name w:val="Caption Char"/>
    <w:uiPriority w:val="99"/>
  </w:style>
  <w:style w:type="table" w:styleId="844">
    <w:name w:val="Table Grid"/>
    <w:basedOn w:val="784"/>
    <w:tblPr/>
  </w:style>
  <w:style w:type="table" w:styleId="845" w:customStyle="1">
    <w:name w:val="Table Grid Light"/>
    <w:uiPriority w:val="59"/>
    <w:rPr>
      <w:lang w:eastAsia="zh-CN"/>
    </w:rPr>
    <w:tblPr>
      <w:tblInd w:w="0" w:type="dxa"/>
      <w:tblBorders>
        <w:top w:val="single" w:color="AFAFAF" w:sz="4" w:space="0"/>
        <w:left w:val="single" w:color="AFAFAF" w:sz="4" w:space="0"/>
        <w:bottom w:val="single" w:color="AFAFAF" w:sz="4" w:space="0"/>
        <w:right w:val="single" w:color="AFAFAF" w:sz="4" w:space="0"/>
        <w:insideH w:val="single" w:color="AFAFAF" w:sz="4" w:space="0"/>
        <w:insideV w:val="single" w:color="AFAFAF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846" w:customStyle="1">
    <w:name w:val="Таблица простая 11"/>
    <w:uiPriority w:val="59"/>
    <w:rPr>
      <w:lang w:eastAsia="zh-CN"/>
    </w:rPr>
    <w:tblPr>
      <w:tblInd w:w="0" w:type="dxa"/>
      <w:tblBorders>
        <w:top w:val="single" w:color="AFAFAF" w:sz="4" w:space="0"/>
        <w:left w:val="single" w:color="AFAFAF" w:sz="4" w:space="0"/>
        <w:bottom w:val="single" w:color="AFAFAF" w:sz="4" w:space="0"/>
        <w:right w:val="single" w:color="AFAFAF" w:sz="4" w:space="0"/>
        <w:insideH w:val="single" w:color="AFAFAF" w:sz="4" w:space="0"/>
        <w:insideV w:val="single" w:color="AFAFAF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847" w:customStyle="1">
    <w:name w:val="Таблица простая 21"/>
    <w:uiPriority w:val="59"/>
    <w:rPr>
      <w:lang w:eastAsia="zh-CN"/>
    </w:rPr>
    <w:tblPr>
      <w:tblInd w:w="0" w:type="dxa"/>
      <w:tblBorders>
        <w:top w:val="single" w:color="000000" w:sz="4" w:space="0"/>
        <w:left w:val="none" w:color="000000" w:sz="4" w:space="0"/>
        <w:bottom w:val="single" w:color="000000" w:sz="4" w:space="0"/>
        <w:right w:val="non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848" w:customStyle="1">
    <w:name w:val="Таблица простая 31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849" w:customStyle="1">
    <w:name w:val="Таблица простая 41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850" w:customStyle="1">
    <w:name w:val="Таблица простая 51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851" w:customStyle="1">
    <w:name w:val="Таблица-сетка 1 светлая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89898" w:sz="4" w:space="0"/>
        <w:left w:val="single" w:color="989898" w:sz="4" w:space="0"/>
        <w:bottom w:val="single" w:color="989898" w:sz="4" w:space="0"/>
        <w:right w:val="single" w:color="989898" w:sz="4" w:space="0"/>
        <w:insideH w:val="single" w:color="989898" w:sz="4" w:space="0"/>
        <w:insideV w:val="single" w:color="989898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2" w:customStyle="1">
    <w:name w:val="Grid Table 1 Light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7CBE4" w:sz="4" w:space="0"/>
        <w:left w:val="single" w:color="B7CBE4" w:sz="4" w:space="0"/>
        <w:bottom w:val="single" w:color="B7CBE4" w:sz="4" w:space="0"/>
        <w:right w:val="single" w:color="B7CBE4" w:sz="4" w:space="0"/>
        <w:insideH w:val="single" w:color="B7CBE4" w:sz="4" w:space="0"/>
        <w:insideV w:val="single" w:color="B7CBE4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3" w:customStyle="1">
    <w:name w:val="Grid Table 1 Light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E5B7B6" w:sz="4" w:space="0"/>
        <w:left w:val="single" w:color="E5B7B6" w:sz="4" w:space="0"/>
        <w:bottom w:val="single" w:color="E5B7B6" w:sz="4" w:space="0"/>
        <w:right w:val="single" w:color="E5B7B6" w:sz="4" w:space="0"/>
        <w:insideH w:val="single" w:color="E5B7B6" w:sz="4" w:space="0"/>
        <w:insideV w:val="single" w:color="E5B7B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4" w:customStyle="1">
    <w:name w:val="Grid Table 1 Light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6E3BB" w:sz="4" w:space="0"/>
        <w:left w:val="single" w:color="D6E3BB" w:sz="4" w:space="0"/>
        <w:bottom w:val="single" w:color="D6E3BB" w:sz="4" w:space="0"/>
        <w:right w:val="single" w:color="D6E3BB" w:sz="4" w:space="0"/>
        <w:insideH w:val="single" w:color="D6E3BB" w:sz="4" w:space="0"/>
        <w:insideV w:val="single" w:color="D6E3B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5" w:customStyle="1">
    <w:name w:val="Grid Table 1 Light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BC0D9" w:sz="4" w:space="0"/>
        <w:left w:val="single" w:color="CBC0D9" w:sz="4" w:space="0"/>
        <w:bottom w:val="single" w:color="CBC0D9" w:sz="4" w:space="0"/>
        <w:right w:val="single" w:color="CBC0D9" w:sz="4" w:space="0"/>
        <w:insideH w:val="single" w:color="CBC0D9" w:sz="4" w:space="0"/>
        <w:insideV w:val="single" w:color="CBC0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6" w:customStyle="1">
    <w:name w:val="Grid Table 1 Light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6DDE8" w:sz="4" w:space="0"/>
        <w:left w:val="single" w:color="B6DDE8" w:sz="4" w:space="0"/>
        <w:bottom w:val="single" w:color="B6DDE8" w:sz="4" w:space="0"/>
        <w:right w:val="single" w:color="B6DDE8" w:sz="4" w:space="0"/>
        <w:insideH w:val="single" w:color="B6DDE8" w:sz="4" w:space="0"/>
        <w:insideV w:val="single" w:color="B6DDE8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7" w:customStyle="1">
    <w:name w:val="Grid Table 1 Light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BD4B4" w:sz="4" w:space="0"/>
        <w:left w:val="single" w:color="FBD4B4" w:sz="4" w:space="0"/>
        <w:bottom w:val="single" w:color="FBD4B4" w:sz="4" w:space="0"/>
        <w:right w:val="single" w:color="FBD4B4" w:sz="4" w:space="0"/>
        <w:insideH w:val="single" w:color="FBD4B4" w:sz="4" w:space="0"/>
        <w:insideV w:val="single" w:color="FBD4B4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8" w:customStyle="1">
    <w:name w:val="Таблица-сетка 2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6A6A6A" w:sz="4" w:space="0"/>
        <w:insideH w:val="single" w:color="6A6A6A" w:sz="4" w:space="0"/>
        <w:insideV w:val="single" w:color="6A6A6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9" w:customStyle="1">
    <w:name w:val="Grid Table 2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5D8AC2" w:sz="4" w:space="0"/>
        <w:insideH w:val="single" w:color="5D8AC2" w:sz="4" w:space="0"/>
        <w:insideV w:val="single" w:color="5D8AC2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0" w:customStyle="1">
    <w:name w:val="Grid Table 2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1" w:customStyle="1">
    <w:name w:val="Grid Table 2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2" w:customStyle="1">
    <w:name w:val="Grid Table 2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3" w:customStyle="1">
    <w:name w:val="Grid Table 2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4BACC6" w:sz="4" w:space="0"/>
        <w:insideH w:val="single" w:color="4BACC6" w:sz="4" w:space="0"/>
        <w:insideV w:val="single" w:color="4BAC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4" w:customStyle="1">
    <w:name w:val="Grid Table 2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F79646" w:sz="4" w:space="0"/>
        <w:insideH w:val="single" w:color="F79646" w:sz="4" w:space="0"/>
        <w:insideV w:val="single" w:color="F7964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5" w:customStyle="1">
    <w:name w:val="Таблица-сетка 3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6A6A6A" w:sz="4" w:space="0"/>
        <w:insideH w:val="single" w:color="6A6A6A" w:sz="4" w:space="0"/>
        <w:insideV w:val="single" w:color="6A6A6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6" w:customStyle="1">
    <w:name w:val="Grid Table 3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5D8AC2" w:sz="4" w:space="0"/>
        <w:insideH w:val="single" w:color="5D8AC2" w:sz="4" w:space="0"/>
        <w:insideV w:val="single" w:color="5D8AC2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7" w:customStyle="1">
    <w:name w:val="Grid Table 3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8" w:customStyle="1">
    <w:name w:val="Grid Table 3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9" w:customStyle="1">
    <w:name w:val="Grid Table 3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70" w:customStyle="1">
    <w:name w:val="Grid Table 3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4BACC6" w:sz="4" w:space="0"/>
        <w:insideH w:val="single" w:color="4BACC6" w:sz="4" w:space="0"/>
        <w:insideV w:val="single" w:color="4BAC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71" w:customStyle="1">
    <w:name w:val="Grid Table 3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F79646" w:sz="4" w:space="0"/>
        <w:insideH w:val="single" w:color="F79646" w:sz="4" w:space="0"/>
        <w:insideV w:val="single" w:color="F7964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72" w:customStyle="1">
    <w:name w:val="Таблица-сетка 41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6F6F6F" w:sz="4" w:space="0"/>
        <w:left w:val="single" w:color="6F6F6F" w:sz="4" w:space="0"/>
        <w:bottom w:val="single" w:color="6F6F6F" w:sz="4" w:space="0"/>
        <w:right w:val="single" w:color="6F6F6F" w:sz="4" w:space="0"/>
        <w:insideH w:val="single" w:color="6F6F6F" w:sz="4" w:space="0"/>
        <w:insideV w:val="single" w:color="6F6F6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73" w:customStyle="1">
    <w:name w:val="Grid Table 4 - Accent 1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9BB7D9" w:sz="4" w:space="0"/>
        <w:left w:val="single" w:color="9BB7D9" w:sz="4" w:space="0"/>
        <w:bottom w:val="single" w:color="9BB7D9" w:sz="4" w:space="0"/>
        <w:right w:val="single" w:color="9BB7D9" w:sz="4" w:space="0"/>
        <w:insideH w:val="single" w:color="9BB7D9" w:sz="4" w:space="0"/>
        <w:insideV w:val="single" w:color="9BB7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74" w:customStyle="1">
    <w:name w:val="Grid Table 4 - Accent 2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DB9B9A" w:sz="4" w:space="0"/>
        <w:left w:val="single" w:color="DB9B9A" w:sz="4" w:space="0"/>
        <w:bottom w:val="single" w:color="DB9B9A" w:sz="4" w:space="0"/>
        <w:right w:val="single" w:color="DB9B9A" w:sz="4" w:space="0"/>
        <w:insideH w:val="single" w:color="DB9B9A" w:sz="4" w:space="0"/>
        <w:insideV w:val="single" w:color="DB9B9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75" w:customStyle="1">
    <w:name w:val="Grid Table 4 - Accent 3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C6D8A1" w:sz="4" w:space="0"/>
        <w:left w:val="single" w:color="C6D8A1" w:sz="4" w:space="0"/>
        <w:bottom w:val="single" w:color="C6D8A1" w:sz="4" w:space="0"/>
        <w:right w:val="single" w:color="C6D8A1" w:sz="4" w:space="0"/>
        <w:insideH w:val="single" w:color="C6D8A1" w:sz="4" w:space="0"/>
        <w:insideV w:val="single" w:color="C6D8A1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76" w:customStyle="1">
    <w:name w:val="Grid Table 4 - Accent 4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B7A7CA" w:sz="4" w:space="0"/>
        <w:left w:val="single" w:color="B7A7CA" w:sz="4" w:space="0"/>
        <w:bottom w:val="single" w:color="B7A7CA" w:sz="4" w:space="0"/>
        <w:right w:val="single" w:color="B7A7CA" w:sz="4" w:space="0"/>
        <w:insideH w:val="single" w:color="B7A7CA" w:sz="4" w:space="0"/>
        <w:insideV w:val="single" w:color="B7A7C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77" w:customStyle="1">
    <w:name w:val="Grid Table 4 - Accent 5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99D0DE" w:sz="4" w:space="0"/>
        <w:left w:val="single" w:color="99D0DE" w:sz="4" w:space="0"/>
        <w:bottom w:val="single" w:color="99D0DE" w:sz="4" w:space="0"/>
        <w:right w:val="single" w:color="99D0DE" w:sz="4" w:space="0"/>
        <w:insideH w:val="single" w:color="99D0DE" w:sz="4" w:space="0"/>
        <w:insideV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78" w:customStyle="1">
    <w:name w:val="Grid Table 4 - Accent 6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FAC396" w:sz="4" w:space="0"/>
        <w:left w:val="single" w:color="FAC396" w:sz="4" w:space="0"/>
        <w:bottom w:val="single" w:color="FAC396" w:sz="4" w:space="0"/>
        <w:right w:val="single" w:color="FAC396" w:sz="4" w:space="0"/>
        <w:insideH w:val="single" w:color="FAC396" w:sz="4" w:space="0"/>
        <w:insideV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79" w:customStyle="1">
    <w:name w:val="Таблица-сетка 5 темная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bfbfbf" w:fill="bfbfbf"/>
      <w:tblCellMar>
        <w:left w:w="0" w:type="dxa"/>
        <w:top w:w="0" w:type="dxa"/>
        <w:right w:w="0" w:type="dxa"/>
        <w:bottom w:w="0" w:type="dxa"/>
      </w:tblCellMar>
    </w:tblPr>
  </w:style>
  <w:style w:type="table" w:styleId="880" w:customStyle="1">
    <w:name w:val="Grid Table 5 Dark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dae5f1" w:fill="dae5f1"/>
      <w:tblCellMar>
        <w:left w:w="0" w:type="dxa"/>
        <w:top w:w="0" w:type="dxa"/>
        <w:right w:w="0" w:type="dxa"/>
        <w:bottom w:w="0" w:type="dxa"/>
      </w:tblCellMar>
    </w:tblPr>
  </w:style>
  <w:style w:type="table" w:styleId="881" w:customStyle="1">
    <w:name w:val="Grid Table 5 Dark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f2dcdc" w:fill="f2dcdc"/>
      <w:tblCellMar>
        <w:left w:w="0" w:type="dxa"/>
        <w:top w:w="0" w:type="dxa"/>
        <w:right w:w="0" w:type="dxa"/>
        <w:bottom w:w="0" w:type="dxa"/>
      </w:tblCellMar>
    </w:tblPr>
  </w:style>
  <w:style w:type="table" w:styleId="882" w:customStyle="1">
    <w:name w:val="Grid Table 5 Dark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eaf1dc" w:fill="eaf1dc"/>
      <w:tblCellMar>
        <w:left w:w="0" w:type="dxa"/>
        <w:top w:w="0" w:type="dxa"/>
        <w:right w:w="0" w:type="dxa"/>
        <w:bottom w:w="0" w:type="dxa"/>
      </w:tblCellMar>
    </w:tblPr>
  </w:style>
  <w:style w:type="table" w:styleId="883" w:customStyle="1">
    <w:name w:val="Grid Table 5 Dark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e5dfec" w:fill="e5dfec"/>
      <w:tblCellMar>
        <w:left w:w="0" w:type="dxa"/>
        <w:top w:w="0" w:type="dxa"/>
        <w:right w:w="0" w:type="dxa"/>
        <w:bottom w:w="0" w:type="dxa"/>
      </w:tblCellMar>
    </w:tblPr>
  </w:style>
  <w:style w:type="table" w:styleId="884" w:customStyle="1">
    <w:name w:val="Grid Table 5 Dark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daeef3" w:fill="daeef3"/>
      <w:tblCellMar>
        <w:left w:w="0" w:type="dxa"/>
        <w:top w:w="0" w:type="dxa"/>
        <w:right w:w="0" w:type="dxa"/>
        <w:bottom w:w="0" w:type="dxa"/>
      </w:tblCellMar>
    </w:tblPr>
  </w:style>
  <w:style w:type="table" w:styleId="885" w:customStyle="1">
    <w:name w:val="Grid Table 5 Dark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fde9d8" w:fill="fde9d8"/>
      <w:tblCellMar>
        <w:left w:w="0" w:type="dxa"/>
        <w:top w:w="0" w:type="dxa"/>
        <w:right w:w="0" w:type="dxa"/>
        <w:bottom w:w="0" w:type="dxa"/>
      </w:tblCellMar>
    </w:tblPr>
  </w:style>
  <w:style w:type="table" w:styleId="886" w:customStyle="1">
    <w:name w:val="Таблица-сетка 6 цветная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7F7F7F" w:sz="4" w:space="0"/>
        <w:left w:val="single" w:color="7F7F7F" w:sz="4" w:space="0"/>
        <w:bottom w:val="single" w:color="7F7F7F" w:sz="4" w:space="0"/>
        <w:right w:val="single" w:color="7F7F7F" w:sz="4" w:space="0"/>
        <w:insideH w:val="single" w:color="7F7F7F" w:sz="4" w:space="0"/>
        <w:insideV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87" w:customStyle="1">
    <w:name w:val="Grid Table 6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A6BFDD" w:sz="4" w:space="0"/>
        <w:left w:val="single" w:color="A6BFDD" w:sz="4" w:space="0"/>
        <w:bottom w:val="single" w:color="A6BFDD" w:sz="4" w:space="0"/>
        <w:right w:val="single" w:color="A6BFDD" w:sz="4" w:space="0"/>
        <w:insideH w:val="single" w:color="A6BFDD" w:sz="4" w:space="0"/>
        <w:insideV w:val="single" w:color="A6BFD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88" w:customStyle="1">
    <w:name w:val="Grid Table 6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99695" w:sz="4" w:space="0"/>
        <w:left w:val="single" w:color="D99695" w:sz="4" w:space="0"/>
        <w:bottom w:val="single" w:color="D99695" w:sz="4" w:space="0"/>
        <w:right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89" w:customStyle="1">
    <w:name w:val="Grid Table 6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ABB59" w:sz="4" w:space="0"/>
        <w:left w:val="single" w:color="9ABB59" w:sz="4" w:space="0"/>
        <w:bottom w:val="single" w:color="9ABB59" w:sz="4" w:space="0"/>
        <w:right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90" w:customStyle="1">
    <w:name w:val="Grid Table 6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2A1C6" w:sz="4" w:space="0"/>
        <w:left w:val="single" w:color="B2A1C6" w:sz="4" w:space="0"/>
        <w:bottom w:val="single" w:color="B2A1C6" w:sz="4" w:space="0"/>
        <w:right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91" w:customStyle="1">
    <w:name w:val="Grid Table 6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4BACC6" w:sz="4" w:space="0"/>
        <w:left w:val="single" w:color="4BACC6" w:sz="4" w:space="0"/>
        <w:bottom w:val="single" w:color="4BACC6" w:sz="4" w:space="0"/>
        <w:right w:val="single" w:color="4BACC6" w:sz="4" w:space="0"/>
        <w:insideH w:val="single" w:color="4BACC6" w:sz="4" w:space="0"/>
        <w:insideV w:val="single" w:color="4BAC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92" w:customStyle="1">
    <w:name w:val="Grid Table 6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79646" w:sz="4" w:space="0"/>
        <w:left w:val="single" w:color="F79646" w:sz="4" w:space="0"/>
        <w:bottom w:val="single" w:color="F79646" w:sz="4" w:space="0"/>
        <w:right w:val="single" w:color="F79646" w:sz="4" w:space="0"/>
        <w:insideH w:val="single" w:color="F79646" w:sz="4" w:space="0"/>
        <w:insideV w:val="single" w:color="F7964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93" w:customStyle="1">
    <w:name w:val="Таблица-сетка 7 цветная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7F7F7F" w:sz="4" w:space="0"/>
        <w:right w:val="single" w:color="7F7F7F" w:sz="4" w:space="0"/>
        <w:insideH w:val="single" w:color="7F7F7F" w:sz="4" w:space="0"/>
        <w:insideV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94" w:customStyle="1">
    <w:name w:val="Grid Table 7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A6BFDD" w:sz="4" w:space="0"/>
        <w:right w:val="single" w:color="A6BFDD" w:sz="4" w:space="0"/>
        <w:insideH w:val="single" w:color="A6BFDD" w:sz="4" w:space="0"/>
        <w:insideV w:val="single" w:color="A6BFD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95" w:customStyle="1">
    <w:name w:val="Grid Table 7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D99695" w:sz="4" w:space="0"/>
        <w:right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96" w:customStyle="1">
    <w:name w:val="Grid Table 7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9ABB59" w:sz="4" w:space="0"/>
        <w:right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97" w:customStyle="1">
    <w:name w:val="Grid Table 7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B2A1C6" w:sz="4" w:space="0"/>
        <w:right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98" w:customStyle="1">
    <w:name w:val="Grid Table 7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99D0DE" w:sz="4" w:space="0"/>
        <w:right w:val="single" w:color="99D0DE" w:sz="4" w:space="0"/>
        <w:insideH w:val="single" w:color="99D0DE" w:sz="4" w:space="0"/>
        <w:insideV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99" w:customStyle="1">
    <w:name w:val="Grid Table 7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FAC396" w:sz="4" w:space="0"/>
        <w:right w:val="single" w:color="FAC396" w:sz="4" w:space="0"/>
        <w:insideH w:val="single" w:color="FAC396" w:sz="4" w:space="0"/>
        <w:insideV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00" w:customStyle="1">
    <w:name w:val="Список-таблица 1 светлая1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901" w:customStyle="1">
    <w:name w:val="List Table 1 Light - Accent 1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902" w:customStyle="1">
    <w:name w:val="List Table 1 Light - Accent 2"/>
    <w:link w:val="1022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903" w:customStyle="1">
    <w:name w:val="List Table 1 Light - Accent 3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904" w:customStyle="1">
    <w:name w:val="List Table 1 Light - Accent 4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905" w:customStyle="1">
    <w:name w:val="List Table 1 Light - Accent 5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906" w:customStyle="1">
    <w:name w:val="List Table 1 Light - Accent 6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907" w:customStyle="1">
    <w:name w:val="Список-таблица 2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6F6F6F" w:sz="4" w:space="0"/>
        <w:bottom w:val="single" w:color="6F6F6F" w:sz="4" w:space="0"/>
        <w:insideH w:val="single" w:color="6F6F6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08" w:customStyle="1">
    <w:name w:val="List Table 2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BB7D9" w:sz="4" w:space="0"/>
        <w:bottom w:val="single" w:color="9BB7D9" w:sz="4" w:space="0"/>
        <w:insideH w:val="single" w:color="9BB7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09" w:customStyle="1">
    <w:name w:val="List Table 2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B9B9A" w:sz="4" w:space="0"/>
        <w:bottom w:val="single" w:color="DB9B9A" w:sz="4" w:space="0"/>
        <w:insideH w:val="single" w:color="DB9B9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10" w:customStyle="1">
    <w:name w:val="List Table 2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6D8A1" w:sz="4" w:space="0"/>
        <w:bottom w:val="single" w:color="C6D8A1" w:sz="4" w:space="0"/>
        <w:insideH w:val="single" w:color="C6D8A1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11" w:customStyle="1">
    <w:name w:val="List Table 2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7A7CA" w:sz="4" w:space="0"/>
        <w:bottom w:val="single" w:color="B7A7CA" w:sz="4" w:space="0"/>
        <w:insideH w:val="single" w:color="B7A7C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12" w:customStyle="1">
    <w:name w:val="List Table 2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9D0DE" w:sz="4" w:space="0"/>
        <w:bottom w:val="single" w:color="99D0DE" w:sz="4" w:space="0"/>
        <w:insideH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13" w:customStyle="1">
    <w:name w:val="List Table 2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AC396" w:sz="4" w:space="0"/>
        <w:bottom w:val="single" w:color="FAC396" w:sz="4" w:space="0"/>
        <w:insideH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14" w:customStyle="1">
    <w:name w:val="Список-таблица 3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15" w:customStyle="1">
    <w:name w:val="List Table 3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4F81BD" w:sz="4" w:space="0"/>
        <w:left w:val="single" w:color="4F81BD" w:sz="4" w:space="0"/>
        <w:bottom w:val="single" w:color="4F81BD" w:sz="4" w:space="0"/>
        <w:right w:val="single" w:color="4F81B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16" w:customStyle="1">
    <w:name w:val="List Table 3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99695" w:sz="4" w:space="0"/>
        <w:left w:val="single" w:color="D99695" w:sz="4" w:space="0"/>
        <w:bottom w:val="single" w:color="D99695" w:sz="4" w:space="0"/>
        <w:right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17" w:customStyle="1">
    <w:name w:val="List Table 3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3D69B" w:sz="4" w:space="0"/>
        <w:left w:val="single" w:color="C3D69B" w:sz="4" w:space="0"/>
        <w:bottom w:val="single" w:color="C3D69B" w:sz="4" w:space="0"/>
        <w:right w:val="single" w:color="C3D69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18" w:customStyle="1">
    <w:name w:val="List Table 3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2A1C6" w:sz="4" w:space="0"/>
        <w:left w:val="single" w:color="B2A1C6" w:sz="4" w:space="0"/>
        <w:bottom w:val="single" w:color="B2A1C6" w:sz="4" w:space="0"/>
        <w:right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19" w:customStyle="1">
    <w:name w:val="List Table 3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2CCDC" w:sz="4" w:space="0"/>
        <w:left w:val="single" w:color="92CCDC" w:sz="4" w:space="0"/>
        <w:bottom w:val="single" w:color="92CCDC" w:sz="4" w:space="0"/>
        <w:right w:val="single" w:color="92CCDC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20" w:customStyle="1">
    <w:name w:val="List Table 3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AC090" w:sz="4" w:space="0"/>
        <w:left w:val="single" w:color="FAC090" w:sz="4" w:space="0"/>
        <w:bottom w:val="single" w:color="FAC090" w:sz="4" w:space="0"/>
        <w:right w:val="single" w:color="FAC09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21" w:customStyle="1">
    <w:name w:val="Список-таблица 4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22" w:customStyle="1">
    <w:name w:val="List Table 4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BB7D9" w:sz="4" w:space="0"/>
        <w:left w:val="single" w:color="9BB7D9" w:sz="4" w:space="0"/>
        <w:bottom w:val="single" w:color="9BB7D9" w:sz="4" w:space="0"/>
        <w:right w:val="single" w:color="9BB7D9" w:sz="4" w:space="0"/>
        <w:insideH w:val="single" w:color="9BB7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23" w:customStyle="1">
    <w:name w:val="List Table 4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B9B9A" w:sz="4" w:space="0"/>
        <w:left w:val="single" w:color="DB9B9A" w:sz="4" w:space="0"/>
        <w:bottom w:val="single" w:color="DB9B9A" w:sz="4" w:space="0"/>
        <w:right w:val="single" w:color="DB9B9A" w:sz="4" w:space="0"/>
        <w:insideH w:val="single" w:color="DB9B9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24" w:customStyle="1">
    <w:name w:val="List Table 4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6D8A1" w:sz="4" w:space="0"/>
        <w:left w:val="single" w:color="C6D8A1" w:sz="4" w:space="0"/>
        <w:bottom w:val="single" w:color="C6D8A1" w:sz="4" w:space="0"/>
        <w:right w:val="single" w:color="C6D8A1" w:sz="4" w:space="0"/>
        <w:insideH w:val="single" w:color="C6D8A1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25" w:customStyle="1">
    <w:name w:val="List Table 4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7A7CA" w:sz="4" w:space="0"/>
        <w:left w:val="single" w:color="B7A7CA" w:sz="4" w:space="0"/>
        <w:bottom w:val="single" w:color="B7A7CA" w:sz="4" w:space="0"/>
        <w:right w:val="single" w:color="B7A7CA" w:sz="4" w:space="0"/>
        <w:insideH w:val="single" w:color="B7A7C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26" w:customStyle="1">
    <w:name w:val="List Table 4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9D0DE" w:sz="4" w:space="0"/>
        <w:left w:val="single" w:color="99D0DE" w:sz="4" w:space="0"/>
        <w:bottom w:val="single" w:color="99D0DE" w:sz="4" w:space="0"/>
        <w:right w:val="single" w:color="99D0DE" w:sz="4" w:space="0"/>
        <w:insideH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27" w:customStyle="1">
    <w:name w:val="List Table 4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AC396" w:sz="4" w:space="0"/>
        <w:left w:val="single" w:color="FAC396" w:sz="4" w:space="0"/>
        <w:bottom w:val="single" w:color="FAC396" w:sz="4" w:space="0"/>
        <w:right w:val="single" w:color="FAC396" w:sz="4" w:space="0"/>
        <w:insideH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28" w:customStyle="1">
    <w:name w:val="Список-таблица 5 темная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7F7F7F" w:sz="32" w:space="0"/>
        <w:left w:val="single" w:color="7F7F7F" w:sz="32" w:space="0"/>
        <w:bottom w:val="single" w:color="7F7F7F" w:sz="32" w:space="0"/>
        <w:right w:val="single" w:color="7F7F7F" w:sz="32" w:space="0"/>
      </w:tblBorders>
      <w:shd w:val="clear" w:color="7f7f7f" w:fill="7f7f7f"/>
      <w:tblCellMar>
        <w:left w:w="0" w:type="dxa"/>
        <w:top w:w="0" w:type="dxa"/>
        <w:right w:w="0" w:type="dxa"/>
        <w:bottom w:w="0" w:type="dxa"/>
      </w:tblCellMar>
    </w:tblPr>
  </w:style>
  <w:style w:type="table" w:styleId="929" w:customStyle="1">
    <w:name w:val="List Table 5 Dark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4F81BD" w:sz="32" w:space="0"/>
        <w:left w:val="single" w:color="4F81BD" w:sz="32" w:space="0"/>
        <w:bottom w:val="single" w:color="4F81BD" w:sz="32" w:space="0"/>
        <w:right w:val="single" w:color="4F81BD" w:sz="32" w:space="0"/>
      </w:tblBorders>
      <w:shd w:val="clear" w:color="4f81bd" w:fill="4f81bd"/>
      <w:tblCellMar>
        <w:left w:w="0" w:type="dxa"/>
        <w:top w:w="0" w:type="dxa"/>
        <w:right w:w="0" w:type="dxa"/>
        <w:bottom w:w="0" w:type="dxa"/>
      </w:tblCellMar>
    </w:tblPr>
  </w:style>
  <w:style w:type="table" w:styleId="930" w:customStyle="1">
    <w:name w:val="List Table 5 Dark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99695" w:sz="32" w:space="0"/>
        <w:left w:val="single" w:color="D99695" w:sz="32" w:space="0"/>
        <w:bottom w:val="single" w:color="D99695" w:sz="32" w:space="0"/>
        <w:right w:val="single" w:color="D99695" w:sz="32" w:space="0"/>
      </w:tblBorders>
      <w:shd w:val="clear" w:color="d99695" w:fill="d99695"/>
      <w:tblCellMar>
        <w:left w:w="0" w:type="dxa"/>
        <w:top w:w="0" w:type="dxa"/>
        <w:right w:w="0" w:type="dxa"/>
        <w:bottom w:w="0" w:type="dxa"/>
      </w:tblCellMar>
    </w:tblPr>
  </w:style>
  <w:style w:type="table" w:styleId="931" w:customStyle="1">
    <w:name w:val="List Table 5 Dark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3D69B" w:sz="32" w:space="0"/>
        <w:left w:val="single" w:color="C3D69B" w:sz="32" w:space="0"/>
        <w:bottom w:val="single" w:color="C3D69B" w:sz="32" w:space="0"/>
        <w:right w:val="single" w:color="C3D69B" w:sz="32" w:space="0"/>
      </w:tblBorders>
      <w:shd w:val="clear" w:color="c3d69b" w:fill="c3d69b"/>
      <w:tblCellMar>
        <w:left w:w="0" w:type="dxa"/>
        <w:top w:w="0" w:type="dxa"/>
        <w:right w:w="0" w:type="dxa"/>
        <w:bottom w:w="0" w:type="dxa"/>
      </w:tblCellMar>
    </w:tblPr>
  </w:style>
  <w:style w:type="table" w:styleId="932" w:customStyle="1">
    <w:name w:val="List Table 5 Dark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2A1C6" w:sz="32" w:space="0"/>
        <w:left w:val="single" w:color="B2A1C6" w:sz="32" w:space="0"/>
        <w:bottom w:val="single" w:color="B2A1C6" w:sz="32" w:space="0"/>
        <w:right w:val="single" w:color="B2A1C6" w:sz="32" w:space="0"/>
      </w:tblBorders>
      <w:shd w:val="clear" w:color="b2a1c6" w:fill="b2a1c6"/>
      <w:tblCellMar>
        <w:left w:w="0" w:type="dxa"/>
        <w:top w:w="0" w:type="dxa"/>
        <w:right w:w="0" w:type="dxa"/>
        <w:bottom w:w="0" w:type="dxa"/>
      </w:tblCellMar>
    </w:tblPr>
  </w:style>
  <w:style w:type="table" w:styleId="933" w:customStyle="1">
    <w:name w:val="List Table 5 Dark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2CCDC" w:sz="32" w:space="0"/>
        <w:left w:val="single" w:color="92CCDC" w:sz="32" w:space="0"/>
        <w:bottom w:val="single" w:color="92CCDC" w:sz="32" w:space="0"/>
        <w:right w:val="single" w:color="92CCDC" w:sz="32" w:space="0"/>
      </w:tblBorders>
      <w:shd w:val="clear" w:color="92ccdc" w:fill="92ccdc"/>
      <w:tblCellMar>
        <w:left w:w="0" w:type="dxa"/>
        <w:top w:w="0" w:type="dxa"/>
        <w:right w:w="0" w:type="dxa"/>
        <w:bottom w:w="0" w:type="dxa"/>
      </w:tblCellMar>
    </w:tblPr>
  </w:style>
  <w:style w:type="table" w:styleId="934" w:customStyle="1">
    <w:name w:val="List Table 5 Dark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AC090" w:sz="32" w:space="0"/>
        <w:left w:val="single" w:color="FAC090" w:sz="32" w:space="0"/>
        <w:bottom w:val="single" w:color="FAC090" w:sz="32" w:space="0"/>
        <w:right w:val="single" w:color="FAC090" w:sz="32" w:space="0"/>
      </w:tblBorders>
      <w:shd w:val="clear" w:color="fac090" w:fill="fac090"/>
      <w:tblCellMar>
        <w:left w:w="0" w:type="dxa"/>
        <w:top w:w="0" w:type="dxa"/>
        <w:right w:w="0" w:type="dxa"/>
        <w:bottom w:w="0" w:type="dxa"/>
      </w:tblCellMar>
    </w:tblPr>
  </w:style>
  <w:style w:type="table" w:styleId="935" w:customStyle="1">
    <w:name w:val="Список-таблица 6 цветная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7F7F7F" w:sz="4" w:space="0"/>
        <w:bottom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36" w:customStyle="1">
    <w:name w:val="List Table 6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4F81BD" w:sz="4" w:space="0"/>
        <w:bottom w:val="single" w:color="4F81B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37" w:customStyle="1">
    <w:name w:val="List Table 6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99695" w:sz="4" w:space="0"/>
        <w:bottom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38" w:customStyle="1">
    <w:name w:val="List Table 6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3D69B" w:sz="4" w:space="0"/>
        <w:bottom w:val="single" w:color="C3D69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39" w:customStyle="1">
    <w:name w:val="List Table 6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2A1C6" w:sz="4" w:space="0"/>
        <w:bottom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40" w:customStyle="1">
    <w:name w:val="List Table 6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2CCDC" w:sz="4" w:space="0"/>
        <w:bottom w:val="single" w:color="92CCDC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41" w:customStyle="1">
    <w:name w:val="List Table 6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AC090" w:sz="4" w:space="0"/>
        <w:bottom w:val="single" w:color="FAC09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42" w:customStyle="1">
    <w:name w:val="Список-таблица 7 цветная1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43" w:customStyle="1">
    <w:name w:val="List Table 7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4F81B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44" w:customStyle="1">
    <w:name w:val="List Table 7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45" w:customStyle="1">
    <w:name w:val="List Table 7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C3D69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46" w:customStyle="1">
    <w:name w:val="List Table 7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47" w:customStyle="1">
    <w:name w:val="List Table 7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92CCDC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48" w:customStyle="1">
    <w:name w:val="List Table 7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FAC09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49" w:customStyle="1">
    <w:name w:val="Lined - Accent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950" w:customStyle="1">
    <w:name w:val="Lined - Accent 1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951" w:customStyle="1">
    <w:name w:val="Lined - Accent 2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952" w:customStyle="1">
    <w:name w:val="Lined - Accent 3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953" w:customStyle="1">
    <w:name w:val="Lined - Accent 4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954" w:customStyle="1">
    <w:name w:val="Lined - Accent 5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955" w:customStyle="1">
    <w:name w:val="Lined - Accent 6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956" w:customStyle="1">
    <w:name w:val="Bordered &amp; Lined - Accent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595959" w:sz="4" w:space="0"/>
        <w:left w:val="single" w:color="595959" w:sz="4" w:space="0"/>
        <w:bottom w:val="single" w:color="595959" w:sz="4" w:space="0"/>
        <w:right w:val="single" w:color="595959" w:sz="4" w:space="0"/>
        <w:insideH w:val="single" w:color="595959" w:sz="4" w:space="0"/>
        <w:insideV w:val="single" w:color="5959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57" w:customStyle="1">
    <w:name w:val="Bordered &amp; Lined - Accent 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2A4A71" w:sz="4" w:space="0"/>
        <w:left w:val="single" w:color="2A4A71" w:sz="4" w:space="0"/>
        <w:bottom w:val="single" w:color="2A4A71" w:sz="4" w:space="0"/>
        <w:right w:val="single" w:color="2A4A71" w:sz="4" w:space="0"/>
        <w:insideH w:val="single" w:color="2A4A71" w:sz="4" w:space="0"/>
        <w:insideV w:val="single" w:color="2A4A71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58" w:customStyle="1">
    <w:name w:val="Bordered &amp; Lined - Accent 2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732A29" w:sz="4" w:space="0"/>
        <w:left w:val="single" w:color="732A29" w:sz="4" w:space="0"/>
        <w:bottom w:val="single" w:color="732A29" w:sz="4" w:space="0"/>
        <w:right w:val="single" w:color="732A29" w:sz="4" w:space="0"/>
        <w:insideH w:val="single" w:color="732A29" w:sz="4" w:space="0"/>
        <w:insideV w:val="single" w:color="732A2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59" w:customStyle="1">
    <w:name w:val="Bordered &amp; Lined - Accent 3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5B722E" w:sz="4" w:space="0"/>
        <w:left w:val="single" w:color="5B722E" w:sz="4" w:space="0"/>
        <w:bottom w:val="single" w:color="5B722E" w:sz="4" w:space="0"/>
        <w:right w:val="single" w:color="5B722E" w:sz="4" w:space="0"/>
        <w:insideH w:val="single" w:color="5B722E" w:sz="4" w:space="0"/>
        <w:insideV w:val="single" w:color="5B722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60" w:customStyle="1">
    <w:name w:val="Bordered &amp; Lined - Accent 4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4A395F" w:sz="4" w:space="0"/>
        <w:left w:val="single" w:color="4A395F" w:sz="4" w:space="0"/>
        <w:bottom w:val="single" w:color="4A395F" w:sz="4" w:space="0"/>
        <w:right w:val="single" w:color="4A395F" w:sz="4" w:space="0"/>
        <w:insideH w:val="single" w:color="4A395F" w:sz="4" w:space="0"/>
        <w:insideV w:val="single" w:color="4A395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61" w:customStyle="1">
    <w:name w:val="Bordered &amp; Lined - Accent 5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266779" w:sz="4" w:space="0"/>
        <w:left w:val="single" w:color="266779" w:sz="4" w:space="0"/>
        <w:bottom w:val="single" w:color="266779" w:sz="4" w:space="0"/>
        <w:right w:val="single" w:color="266779" w:sz="4" w:space="0"/>
        <w:insideH w:val="single" w:color="266779" w:sz="4" w:space="0"/>
        <w:insideV w:val="single" w:color="26677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62" w:customStyle="1">
    <w:name w:val="Bordered &amp; Lined - Accent 6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B15407" w:sz="4" w:space="0"/>
        <w:left w:val="single" w:color="B15407" w:sz="4" w:space="0"/>
        <w:bottom w:val="single" w:color="B15407" w:sz="4" w:space="0"/>
        <w:right w:val="single" w:color="B15407" w:sz="4" w:space="0"/>
        <w:insideH w:val="single" w:color="B15407" w:sz="4" w:space="0"/>
        <w:insideV w:val="single" w:color="B15407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63" w:customStyle="1">
    <w:name w:val="Bordered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9D9D9" w:sz="4" w:space="0"/>
        <w:left w:val="single" w:color="D9D9D9" w:sz="4" w:space="0"/>
        <w:bottom w:val="single" w:color="D9D9D9" w:sz="4" w:space="0"/>
        <w:right w:val="single" w:color="D9D9D9" w:sz="4" w:space="0"/>
        <w:insideH w:val="single" w:color="D9D9D9" w:sz="4" w:space="0"/>
        <w:insideV w:val="single" w:color="D9D9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64" w:customStyle="1">
    <w:name w:val="Bordered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7CBE4" w:sz="4" w:space="0"/>
        <w:left w:val="single" w:color="B7CBE4" w:sz="4" w:space="0"/>
        <w:bottom w:val="single" w:color="B7CBE4" w:sz="4" w:space="0"/>
        <w:right w:val="single" w:color="B7CBE4" w:sz="4" w:space="0"/>
        <w:insideH w:val="single" w:color="B7CBE4" w:sz="4" w:space="0"/>
        <w:insideV w:val="single" w:color="B7CBE4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65" w:customStyle="1">
    <w:name w:val="Bordered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E5B7B6" w:sz="4" w:space="0"/>
        <w:left w:val="single" w:color="E5B7B6" w:sz="4" w:space="0"/>
        <w:bottom w:val="single" w:color="E5B7B6" w:sz="4" w:space="0"/>
        <w:right w:val="single" w:color="E5B7B6" w:sz="4" w:space="0"/>
        <w:insideH w:val="single" w:color="E5B7B6" w:sz="4" w:space="0"/>
        <w:insideV w:val="single" w:color="E5B7B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66" w:customStyle="1">
    <w:name w:val="Bordered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6E3BB" w:sz="4" w:space="0"/>
        <w:left w:val="single" w:color="D6E3BB" w:sz="4" w:space="0"/>
        <w:bottom w:val="single" w:color="D6E3BB" w:sz="4" w:space="0"/>
        <w:right w:val="single" w:color="D6E3BB" w:sz="4" w:space="0"/>
        <w:insideH w:val="single" w:color="D6E3BB" w:sz="4" w:space="0"/>
        <w:insideV w:val="single" w:color="D6E3B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67" w:customStyle="1">
    <w:name w:val="Bordered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BC0D9" w:sz="4" w:space="0"/>
        <w:left w:val="single" w:color="CBC0D9" w:sz="4" w:space="0"/>
        <w:bottom w:val="single" w:color="CBC0D9" w:sz="4" w:space="0"/>
        <w:right w:val="single" w:color="CBC0D9" w:sz="4" w:space="0"/>
        <w:insideH w:val="single" w:color="CBC0D9" w:sz="4" w:space="0"/>
        <w:insideV w:val="single" w:color="CBC0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68" w:customStyle="1">
    <w:name w:val="Bordered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6DDE8" w:sz="4" w:space="0"/>
        <w:left w:val="single" w:color="B6DDE8" w:sz="4" w:space="0"/>
        <w:bottom w:val="single" w:color="B6DDE8" w:sz="4" w:space="0"/>
        <w:right w:val="single" w:color="B6DDE8" w:sz="4" w:space="0"/>
        <w:insideH w:val="single" w:color="B6DDE8" w:sz="4" w:space="0"/>
        <w:insideV w:val="single" w:color="B6DDE8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69" w:customStyle="1">
    <w:name w:val="Bordered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BD4B4" w:sz="4" w:space="0"/>
        <w:left w:val="single" w:color="FBD4B4" w:sz="4" w:space="0"/>
        <w:bottom w:val="single" w:color="FBD4B4" w:sz="4" w:space="0"/>
        <w:right w:val="single" w:color="FBD4B4" w:sz="4" w:space="0"/>
        <w:insideH w:val="single" w:color="FBD4B4" w:sz="4" w:space="0"/>
        <w:insideV w:val="single" w:color="FBD4B4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character" w:styleId="970">
    <w:name w:val="Hyperlink"/>
    <w:rPr>
      <w:color w:val="0000ff"/>
      <w:u w:val="single"/>
    </w:rPr>
  </w:style>
  <w:style w:type="paragraph" w:styleId="971">
    <w:name w:val="footnote text"/>
    <w:basedOn w:val="773"/>
    <w:link w:val="972"/>
    <w:uiPriority w:val="99"/>
    <w:semiHidden/>
    <w:unhideWhenUsed/>
    <w:pPr>
      <w:spacing w:after="40"/>
    </w:pPr>
    <w:rPr>
      <w:sz w:val="18"/>
    </w:rPr>
  </w:style>
  <w:style w:type="character" w:styleId="972" w:customStyle="1">
    <w:name w:val="Текст сноски Знак"/>
    <w:link w:val="971"/>
    <w:uiPriority w:val="99"/>
    <w:rPr>
      <w:sz w:val="18"/>
    </w:rPr>
  </w:style>
  <w:style w:type="character" w:styleId="973">
    <w:name w:val="footnote reference"/>
    <w:uiPriority w:val="99"/>
    <w:unhideWhenUsed/>
    <w:rPr>
      <w:vertAlign w:val="superscript"/>
    </w:rPr>
  </w:style>
  <w:style w:type="paragraph" w:styleId="974">
    <w:name w:val="endnote text"/>
    <w:basedOn w:val="773"/>
    <w:link w:val="975"/>
    <w:uiPriority w:val="99"/>
    <w:semiHidden/>
    <w:unhideWhenUsed/>
    <w:rPr>
      <w:sz w:val="20"/>
    </w:rPr>
  </w:style>
  <w:style w:type="character" w:styleId="975" w:customStyle="1">
    <w:name w:val="Текст концевой сноски Знак"/>
    <w:link w:val="974"/>
    <w:uiPriority w:val="99"/>
    <w:rPr>
      <w:sz w:val="20"/>
    </w:rPr>
  </w:style>
  <w:style w:type="character" w:styleId="976">
    <w:name w:val="endnote reference"/>
    <w:uiPriority w:val="99"/>
    <w:semiHidden/>
    <w:unhideWhenUsed/>
    <w:rPr>
      <w:vertAlign w:val="superscript"/>
    </w:rPr>
  </w:style>
  <w:style w:type="paragraph" w:styleId="977">
    <w:name w:val="toc 1"/>
    <w:basedOn w:val="773"/>
    <w:next w:val="773"/>
    <w:uiPriority w:val="39"/>
    <w:unhideWhenUsed/>
    <w:pPr>
      <w:spacing w:after="57"/>
    </w:pPr>
  </w:style>
  <w:style w:type="paragraph" w:styleId="978">
    <w:name w:val="toc 2"/>
    <w:basedOn w:val="773"/>
    <w:next w:val="773"/>
    <w:uiPriority w:val="39"/>
    <w:unhideWhenUsed/>
    <w:pPr>
      <w:ind w:left="283"/>
      <w:spacing w:after="57"/>
    </w:pPr>
  </w:style>
  <w:style w:type="paragraph" w:styleId="979">
    <w:name w:val="toc 3"/>
    <w:basedOn w:val="773"/>
    <w:next w:val="773"/>
    <w:uiPriority w:val="39"/>
    <w:unhideWhenUsed/>
    <w:pPr>
      <w:ind w:left="567"/>
      <w:spacing w:after="57"/>
    </w:pPr>
  </w:style>
  <w:style w:type="paragraph" w:styleId="980">
    <w:name w:val="toc 4"/>
    <w:basedOn w:val="773"/>
    <w:next w:val="773"/>
    <w:uiPriority w:val="39"/>
    <w:unhideWhenUsed/>
    <w:pPr>
      <w:ind w:left="850"/>
      <w:spacing w:after="57"/>
    </w:pPr>
  </w:style>
  <w:style w:type="paragraph" w:styleId="981">
    <w:name w:val="toc 5"/>
    <w:basedOn w:val="773"/>
    <w:next w:val="773"/>
    <w:uiPriority w:val="39"/>
    <w:unhideWhenUsed/>
    <w:pPr>
      <w:ind w:left="1134"/>
      <w:spacing w:after="57"/>
    </w:pPr>
  </w:style>
  <w:style w:type="paragraph" w:styleId="982">
    <w:name w:val="toc 6"/>
    <w:basedOn w:val="773"/>
    <w:next w:val="773"/>
    <w:uiPriority w:val="39"/>
    <w:unhideWhenUsed/>
    <w:pPr>
      <w:ind w:left="1417"/>
      <w:spacing w:after="57"/>
    </w:pPr>
  </w:style>
  <w:style w:type="paragraph" w:styleId="983">
    <w:name w:val="toc 7"/>
    <w:basedOn w:val="773"/>
    <w:next w:val="773"/>
    <w:uiPriority w:val="39"/>
    <w:unhideWhenUsed/>
    <w:pPr>
      <w:ind w:left="1701"/>
      <w:spacing w:after="57"/>
    </w:pPr>
  </w:style>
  <w:style w:type="paragraph" w:styleId="984">
    <w:name w:val="toc 8"/>
    <w:basedOn w:val="773"/>
    <w:next w:val="773"/>
    <w:uiPriority w:val="39"/>
    <w:unhideWhenUsed/>
    <w:pPr>
      <w:ind w:left="1984"/>
      <w:spacing w:after="57"/>
    </w:pPr>
  </w:style>
  <w:style w:type="paragraph" w:styleId="985">
    <w:name w:val="toc 9"/>
    <w:basedOn w:val="773"/>
    <w:next w:val="773"/>
    <w:uiPriority w:val="39"/>
    <w:unhideWhenUsed/>
    <w:pPr>
      <w:ind w:left="2268"/>
      <w:spacing w:after="57"/>
    </w:pPr>
  </w:style>
  <w:style w:type="paragraph" w:styleId="986">
    <w:name w:val="TOC Heading"/>
    <w:uiPriority w:val="39"/>
    <w:unhideWhenUsed/>
    <w:rPr>
      <w:lang w:eastAsia="zh-CN"/>
    </w:rPr>
  </w:style>
  <w:style w:type="paragraph" w:styleId="987">
    <w:name w:val="table of figures"/>
    <w:basedOn w:val="773"/>
    <w:next w:val="773"/>
    <w:uiPriority w:val="99"/>
    <w:unhideWhenUsed/>
  </w:style>
  <w:style w:type="paragraph" w:styleId="988">
    <w:name w:val="Body Text"/>
    <w:basedOn w:val="773"/>
    <w:link w:val="1015"/>
    <w:pPr>
      <w:spacing w:after="120"/>
    </w:pPr>
  </w:style>
  <w:style w:type="character" w:styleId="989" w:customStyle="1">
    <w:name w:val="Заголовок 1 Знак"/>
    <w:link w:val="774"/>
    <w:rPr>
      <w:b/>
      <w:bCs/>
      <w:sz w:val="24"/>
      <w:lang w:val="ru-RU" w:eastAsia="ru-RU" w:bidi="ar-SA"/>
    </w:rPr>
  </w:style>
  <w:style w:type="character" w:styleId="990" w:customStyle="1">
    <w:name w:val="Заголовок 2 Знак"/>
    <w:link w:val="775"/>
    <w:semiHidden/>
    <w:rPr>
      <w:sz w:val="24"/>
      <w:lang w:val="ru-RU" w:eastAsia="ru-RU" w:bidi="ar-SA"/>
    </w:rPr>
  </w:style>
  <w:style w:type="paragraph" w:styleId="991" w:customStyle="1">
    <w:name w:val="Название1"/>
    <w:basedOn w:val="773"/>
    <w:link w:val="992"/>
    <w:qFormat/>
    <w:pPr>
      <w:jc w:val="center"/>
    </w:pPr>
    <w:rPr>
      <w:rFonts w:ascii="Courier New" w:hAnsi="Courier New" w:cs="Courier New"/>
      <w:sz w:val="20"/>
      <w:szCs w:val="20"/>
    </w:rPr>
  </w:style>
  <w:style w:type="character" w:styleId="992" w:customStyle="1">
    <w:name w:val="Знак Знак2"/>
    <w:link w:val="991"/>
    <w:rPr>
      <w:rFonts w:ascii="Courier New" w:hAnsi="Courier New" w:cs="Courier New"/>
      <w:lang w:val="ru-RU" w:eastAsia="ru-RU" w:bidi="ar-SA"/>
    </w:rPr>
  </w:style>
  <w:style w:type="paragraph" w:styleId="993" w:customStyle="1">
    <w:name w:val="Знак Знак Знак"/>
    <w:basedOn w:val="773"/>
    <w:pPr>
      <w:jc w:val="both"/>
      <w:spacing w:before="100" w:beforeAutospacing="1" w:after="100" w:afterAutospacing="1" w:line="360" w:lineRule="atLeast"/>
      <w:widowControl w:val="off"/>
    </w:pPr>
    <w:rPr>
      <w:rFonts w:ascii="Tahoma" w:hAnsi="Tahoma" w:cs="Tahoma"/>
      <w:sz w:val="20"/>
      <w:szCs w:val="20"/>
      <w:lang w:val="en-US" w:eastAsia="en-US"/>
    </w:rPr>
  </w:style>
  <w:style w:type="paragraph" w:styleId="994">
    <w:name w:val="Normal (Web)"/>
    <w:basedOn w:val="773"/>
    <w:uiPriority w:val="99"/>
    <w:pPr>
      <w:spacing w:after="240"/>
    </w:pPr>
  </w:style>
  <w:style w:type="paragraph" w:styleId="995" w:customStyle="1">
    <w:name w:val="body text Знак Знак"/>
    <w:link w:val="996"/>
    <w:pPr>
      <w:numPr>
        <w:ilvl w:val="0"/>
        <w:numId w:val="4"/>
      </w:numPr>
      <w:jc w:val="both"/>
    </w:pPr>
    <w:rPr>
      <w:sz w:val="24"/>
      <w:szCs w:val="24"/>
    </w:rPr>
  </w:style>
  <w:style w:type="character" w:styleId="996" w:customStyle="1">
    <w:name w:val="body text Знак Знак Знак1"/>
    <w:link w:val="995"/>
    <w:rPr>
      <w:sz w:val="24"/>
      <w:szCs w:val="24"/>
      <w:lang w:val="ru-RU" w:eastAsia="ru-RU" w:bidi="ar-SA"/>
    </w:rPr>
  </w:style>
  <w:style w:type="paragraph" w:styleId="997" w:customStyle="1">
    <w:name w:val="body_text Знак Знак"/>
    <w:pPr>
      <w:ind w:firstLine="709"/>
      <w:jc w:val="both"/>
    </w:pPr>
    <w:rPr>
      <w:sz w:val="24"/>
      <w:szCs w:val="24"/>
    </w:rPr>
  </w:style>
  <w:style w:type="character" w:styleId="998" w:customStyle="1">
    <w:name w:val="body text Знак Знак Знак"/>
    <w:rPr>
      <w:rFonts w:cs="Times New Roman"/>
      <w:sz w:val="24"/>
      <w:szCs w:val="24"/>
      <w:lang w:val="ru-RU" w:eastAsia="ru-RU" w:bidi="ar-SA"/>
    </w:rPr>
  </w:style>
  <w:style w:type="paragraph" w:styleId="999">
    <w:name w:val="Body Text Indent 2"/>
    <w:basedOn w:val="773"/>
    <w:link w:val="1000"/>
    <w:pPr>
      <w:ind w:left="283"/>
      <w:jc w:val="center"/>
      <w:keepNext/>
      <w:spacing w:after="120" w:line="480" w:lineRule="auto"/>
      <w:widowControl w:val="off"/>
    </w:pPr>
    <w:rPr>
      <w:sz w:val="28"/>
      <w:szCs w:val="20"/>
    </w:rPr>
  </w:style>
  <w:style w:type="character" w:styleId="1000" w:customStyle="1">
    <w:name w:val="Основной текст с отступом 2 Знак"/>
    <w:link w:val="999"/>
    <w:rPr>
      <w:sz w:val="28"/>
      <w:lang w:val="ru-RU" w:eastAsia="ru-RU" w:bidi="ar-SA"/>
    </w:rPr>
  </w:style>
  <w:style w:type="character" w:styleId="1001" w:customStyle="1">
    <w:name w:val="body_text Знак Знак Знак"/>
    <w:rPr>
      <w:rFonts w:cs="Times New Roman"/>
      <w:sz w:val="24"/>
      <w:szCs w:val="24"/>
      <w:lang w:val="ru-RU" w:eastAsia="ru-RU" w:bidi="ar-SA"/>
    </w:rPr>
  </w:style>
  <w:style w:type="paragraph" w:styleId="1002" w:customStyle="1">
    <w:name w:val="Наименование таблицы Знак"/>
    <w:next w:val="773"/>
    <w:pPr>
      <w:jc w:val="center"/>
    </w:pPr>
    <w:rPr>
      <w:b/>
      <w:sz w:val="22"/>
    </w:rPr>
  </w:style>
  <w:style w:type="paragraph" w:styleId="1003" w:customStyle="1">
    <w:name w:val="Знак1 Знак Знак Знак Знак Знак Знак"/>
    <w:basedOn w:val="773"/>
    <w:pPr>
      <w:jc w:val="both"/>
      <w:spacing w:before="100" w:beforeAutospacing="1" w:after="100" w:afterAutospacing="1" w:line="360" w:lineRule="atLeast"/>
      <w:widowControl w:val="off"/>
    </w:pPr>
    <w:rPr>
      <w:rFonts w:ascii="Tahoma" w:hAnsi="Tahoma" w:cs="Tahoma"/>
      <w:sz w:val="20"/>
      <w:szCs w:val="20"/>
      <w:lang w:val="en-US" w:eastAsia="en-US"/>
    </w:rPr>
  </w:style>
  <w:style w:type="paragraph" w:styleId="1004" w:customStyle="1">
    <w:name w:val="Основной текст гд"/>
    <w:basedOn w:val="988"/>
    <w:pPr>
      <w:jc w:val="center"/>
      <w:keepNext/>
      <w:spacing w:after="0"/>
      <w:widowControl w:val="off"/>
    </w:pPr>
    <w:rPr>
      <w:sz w:val="22"/>
    </w:rPr>
  </w:style>
  <w:style w:type="character" w:styleId="1005">
    <w:name w:val="page number"/>
    <w:basedOn w:val="783"/>
  </w:style>
  <w:style w:type="paragraph" w:styleId="1006" w:customStyle="1">
    <w:name w:val="ConsPlusNormal"/>
    <w:rPr>
      <w:rFonts w:ascii="Arial" w:hAnsi="Arial" w:eastAsia="MS Mincho" w:cs="Arial"/>
      <w:lang w:eastAsia="ja-JP"/>
    </w:rPr>
  </w:style>
  <w:style w:type="paragraph" w:styleId="1007">
    <w:name w:val="Body Text Indent"/>
    <w:basedOn w:val="773"/>
    <w:pPr>
      <w:ind w:left="283"/>
      <w:spacing w:after="120"/>
    </w:pPr>
  </w:style>
  <w:style w:type="paragraph" w:styleId="1008" w:customStyle="1">
    <w:name w:val="Heading"/>
    <w:rPr>
      <w:rFonts w:ascii="Arial" w:hAnsi="Arial" w:cs="Arial"/>
      <w:b/>
      <w:bCs/>
      <w:sz w:val="22"/>
      <w:szCs w:val="22"/>
    </w:rPr>
  </w:style>
  <w:style w:type="paragraph" w:styleId="1009">
    <w:name w:val="Body Text Indent 3"/>
    <w:basedOn w:val="773"/>
    <w:pPr>
      <w:ind w:left="5760"/>
    </w:pPr>
  </w:style>
  <w:style w:type="paragraph" w:styleId="1010" w:customStyle="1">
    <w:name w:val="Знак Знак Знак Знак Знак Знак Знак Знак Знак Знак Знак Знак Знак Знак Знак Знак Знак Знак Знак Знак"/>
    <w:basedOn w:val="773"/>
    <w:pPr>
      <w:jc w:val="both"/>
      <w:spacing w:before="100" w:beforeAutospacing="1" w:after="100" w:afterAutospacing="1" w:line="360" w:lineRule="atLeast"/>
      <w:widowControl w:val="off"/>
    </w:pPr>
    <w:rPr>
      <w:rFonts w:ascii="Tahoma" w:hAnsi="Tahoma" w:cs="Tahoma"/>
      <w:sz w:val="20"/>
      <w:szCs w:val="20"/>
      <w:lang w:val="en-US" w:eastAsia="en-US"/>
    </w:rPr>
  </w:style>
  <w:style w:type="paragraph" w:styleId="1011" w:customStyle="1">
    <w:name w:val="Знак1 Знак Знак"/>
    <w:basedOn w:val="773"/>
    <w:pPr>
      <w:jc w:val="both"/>
      <w:spacing w:before="100" w:beforeAutospacing="1" w:after="100" w:afterAutospacing="1" w:line="360" w:lineRule="atLeast"/>
      <w:widowControl w:val="off"/>
    </w:pPr>
    <w:rPr>
      <w:rFonts w:ascii="Tahoma" w:hAnsi="Tahoma" w:cs="Tahoma"/>
      <w:sz w:val="20"/>
      <w:szCs w:val="20"/>
      <w:lang w:val="en-US" w:eastAsia="en-US"/>
    </w:rPr>
  </w:style>
  <w:style w:type="paragraph" w:styleId="1012" w:customStyle="1">
    <w:name w:val="Знак Знак Знак Знак Знак Знак Знак Знак Знак"/>
    <w:basedOn w:val="773"/>
    <w:pPr>
      <w:jc w:val="both"/>
      <w:spacing w:before="100" w:beforeAutospacing="1" w:after="100" w:afterAutospacing="1" w:line="360" w:lineRule="atLeast"/>
      <w:widowControl w:val="off"/>
    </w:pPr>
    <w:rPr>
      <w:rFonts w:ascii="Tahoma" w:hAnsi="Tahoma" w:cs="Tahoma"/>
      <w:sz w:val="20"/>
      <w:szCs w:val="20"/>
      <w:lang w:val="en-US" w:eastAsia="en-US"/>
    </w:rPr>
  </w:style>
  <w:style w:type="paragraph" w:styleId="1013">
    <w:name w:val="Note Heading"/>
    <w:basedOn w:val="773"/>
    <w:next w:val="773"/>
    <w:pPr>
      <w:jc w:val="both"/>
    </w:pPr>
    <w:rPr>
      <w:szCs w:val="20"/>
    </w:rPr>
  </w:style>
  <w:style w:type="paragraph" w:styleId="1014" w:customStyle="1">
    <w:name w:val="Знак1 Знак Знак Знак"/>
    <w:basedOn w:val="773"/>
    <w:pPr>
      <w:jc w:val="both"/>
      <w:spacing w:before="100" w:beforeAutospacing="1" w:after="100" w:afterAutospacing="1" w:line="360" w:lineRule="atLeast"/>
      <w:widowControl w:val="off"/>
    </w:pPr>
    <w:rPr>
      <w:rFonts w:ascii="Tahoma" w:hAnsi="Tahoma" w:cs="Tahoma"/>
      <w:sz w:val="20"/>
      <w:szCs w:val="20"/>
      <w:lang w:val="en-US" w:eastAsia="en-US"/>
    </w:rPr>
  </w:style>
  <w:style w:type="character" w:styleId="1015" w:customStyle="1">
    <w:name w:val="Основной текст Знак"/>
    <w:link w:val="988"/>
    <w:rPr>
      <w:sz w:val="24"/>
      <w:szCs w:val="24"/>
      <w:lang w:val="ru-RU" w:eastAsia="ru-RU" w:bidi="ar-SA"/>
    </w:rPr>
  </w:style>
  <w:style w:type="paragraph" w:styleId="1016">
    <w:name w:val="Balloon Text"/>
    <w:basedOn w:val="773"/>
    <w:link w:val="1017"/>
    <w:rPr>
      <w:rFonts w:ascii="Tahoma" w:hAnsi="Tahoma" w:cs="Tahoma"/>
      <w:sz w:val="16"/>
      <w:szCs w:val="16"/>
    </w:rPr>
  </w:style>
  <w:style w:type="character" w:styleId="1017" w:customStyle="1">
    <w:name w:val="Текст выноски Знак"/>
    <w:link w:val="1016"/>
    <w:rPr>
      <w:rFonts w:ascii="Tahoma" w:hAnsi="Tahoma" w:cs="Tahoma"/>
      <w:sz w:val="16"/>
      <w:szCs w:val="16"/>
      <w:lang w:val="ru-RU" w:eastAsia="ru-RU" w:bidi="ar-SA"/>
    </w:rPr>
  </w:style>
  <w:style w:type="paragraph" w:styleId="1018" w:customStyle="1">
    <w:name w:val="Знак Знак Знак Знак Знак Знак Знак Знак Знак Знак Знак Знак Знак Знак Знак Знак Знак Знак"/>
    <w:basedOn w:val="773"/>
    <w:pPr>
      <w:jc w:val="both"/>
      <w:spacing w:before="100" w:beforeAutospacing="1" w:after="100" w:afterAutospacing="1" w:line="360" w:lineRule="atLeast"/>
      <w:widowControl w:val="off"/>
    </w:pPr>
    <w:rPr>
      <w:rFonts w:ascii="Tahoma" w:hAnsi="Tahoma" w:cs="Tahoma"/>
      <w:sz w:val="20"/>
      <w:szCs w:val="20"/>
      <w:lang w:val="en-US" w:eastAsia="en-US"/>
    </w:rPr>
  </w:style>
  <w:style w:type="character" w:styleId="1019" w:customStyle="1">
    <w:name w:val="Нижний колонтитул Знак"/>
    <w:link w:val="840"/>
    <w:rPr>
      <w:sz w:val="24"/>
      <w:szCs w:val="24"/>
      <w:lang w:val="ru-RU" w:eastAsia="ru-RU" w:bidi="ar-SA"/>
    </w:rPr>
  </w:style>
  <w:style w:type="character" w:styleId="1020" w:customStyle="1">
    <w:name w:val="Гиперссылка1"/>
    <w:rPr>
      <w:color w:val="0000ff"/>
      <w:u w:val="single"/>
    </w:rPr>
  </w:style>
  <w:style w:type="paragraph" w:styleId="1021" w:customStyle="1">
    <w:name w:val="Обычный (веб)1"/>
    <w:pPr>
      <w:spacing w:after="240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</w:pPr>
    <w:rPr>
      <w:sz w:val="24"/>
      <w:szCs w:val="24"/>
    </w:rPr>
  </w:style>
  <w:style w:type="paragraph" w:styleId="1022" w:customStyle="1">
    <w:name w:val="Основной текст1"/>
    <w:link w:val="902"/>
    <w:pPr>
      <w:widowControl w:val="off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</w:pPr>
    <w:rPr>
      <w:color w:val="000000"/>
      <w:sz w:val="24"/>
      <w:szCs w:val="24"/>
      <w:lang w:bidi="ru-RU"/>
    </w:rPr>
  </w:style>
  <w:style w:type="paragraph" w:styleId="1023" w:customStyle="1">
    <w:name w:val="docdata"/>
    <w:basedOn w:val="773"/>
    <w:pPr>
      <w:spacing w:before="100" w:beforeAutospacing="1" w:after="100" w:afterAutospacing="1"/>
    </w:pPr>
  </w:style>
  <w:style w:type="paragraph" w:styleId="1024" w:customStyle="1">
    <w:name w:val="Основной текст2"/>
    <w:pPr>
      <w:jc w:val="center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</w:pPr>
    <w:rPr>
      <w:b/>
      <w:bCs/>
      <w:sz w:val="28"/>
      <w:szCs w:val="24"/>
    </w:rPr>
  </w:style>
  <w:style w:type="paragraph" w:styleId="1025" w:customStyle="1">
    <w:name w:val="Обычный (веб);Обычный (Web)1;Знак Знак3;Обычный (веб) Знак1;Обычный (веб) Знак Знак1;Обычный (веб) Знак Знак Знак;Знак Знак1 Знак Знак;Обычный (веб) Знак Знак Знак Знак;Знак4 Зна;Обычный (Web);Знак Знак1 Знак"/>
    <w:pPr>
      <w:spacing w:before="100" w:beforeAutospacing="1" w:after="100" w:afterAutospacing="1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</w:pPr>
    <w:rPr>
      <w:sz w:val="24"/>
      <w:szCs w:val="24"/>
    </w:rPr>
  </w:style>
  <w:style w:type="paragraph" w:styleId="1026" w:customStyle="1">
    <w:name w:val="s_16"/>
    <w:basedOn w:val="773"/>
    <w:pPr>
      <w:spacing w:before="100" w:beforeAutospacing="1" w:after="100" w:afterAutospacing="1"/>
    </w:pPr>
  </w:style>
  <w:style w:type="paragraph" w:styleId="1027" w:customStyle="1">
    <w:name w:val="s_1"/>
    <w:basedOn w:val="773"/>
    <w:pPr>
      <w:spacing w:before="100" w:beforeAutospacing="1" w:after="100" w:afterAutospacing="1"/>
    </w:pPr>
  </w:style>
  <w:style w:type="paragraph" w:styleId="1028" w:customStyle="1">
    <w:name w:val="Знак"/>
    <w:basedOn w:val="773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1029">
    <w:name w:val="Body Text 2"/>
    <w:basedOn w:val="773"/>
    <w:link w:val="1030"/>
    <w:pPr>
      <w:spacing w:after="120" w:line="480" w:lineRule="auto"/>
    </w:pPr>
  </w:style>
  <w:style w:type="character" w:styleId="1030" w:customStyle="1">
    <w:name w:val="Основной текст 2 Знак"/>
    <w:basedOn w:val="783"/>
    <w:link w:val="1029"/>
    <w:rPr>
      <w:sz w:val="24"/>
      <w:szCs w:val="24"/>
    </w:rPr>
  </w:style>
  <w:style w:type="character" w:styleId="1031" w:customStyle="1">
    <w:name w:val="Неразрешенное упоминание1"/>
    <w:basedOn w:val="783"/>
    <w:uiPriority w:val="99"/>
    <w:semiHidden/>
    <w:unhideWhenUsed/>
    <w:rPr>
      <w:color w:val="605e5c"/>
      <w:shd w:val="clear" w:color="auto" w:fill="e1dfdd"/>
    </w:rPr>
  </w:style>
  <w:style w:type="character" w:styleId="1032">
    <w:name w:val="annotation reference"/>
    <w:basedOn w:val="783"/>
    <w:uiPriority w:val="99"/>
    <w:semiHidden/>
    <w:unhideWhenUsed/>
    <w:rPr>
      <w:sz w:val="16"/>
      <w:szCs w:val="16"/>
    </w:rPr>
  </w:style>
  <w:style w:type="paragraph" w:styleId="1033">
    <w:name w:val="annotation text"/>
    <w:basedOn w:val="773"/>
    <w:link w:val="1034"/>
    <w:uiPriority w:val="99"/>
    <w:semiHidden/>
    <w:unhideWhenUsed/>
    <w:rPr>
      <w:sz w:val="20"/>
      <w:szCs w:val="20"/>
    </w:rPr>
  </w:style>
  <w:style w:type="character" w:styleId="1034" w:customStyle="1">
    <w:name w:val="Текст примечания Знак"/>
    <w:basedOn w:val="783"/>
    <w:link w:val="1033"/>
    <w:uiPriority w:val="99"/>
    <w:semiHidden/>
  </w:style>
  <w:style w:type="paragraph" w:styleId="1035">
    <w:name w:val="annotation subject"/>
    <w:basedOn w:val="1033"/>
    <w:next w:val="1033"/>
    <w:link w:val="1036"/>
    <w:uiPriority w:val="99"/>
    <w:semiHidden/>
    <w:unhideWhenUsed/>
    <w:rPr>
      <w:b/>
      <w:bCs/>
    </w:rPr>
  </w:style>
  <w:style w:type="character" w:styleId="1036" w:customStyle="1">
    <w:name w:val="Тема примечания Знак"/>
    <w:basedOn w:val="1034"/>
    <w:link w:val="1035"/>
    <w:uiPriority w:val="99"/>
    <w:semiHidden/>
    <w:rPr>
      <w:b/>
      <w:bCs/>
    </w:rPr>
  </w:style>
  <w:style w:type="paragraph" w:styleId="1037" w:customStyle="1">
    <w:name w:val="ConsPlusTitle"/>
    <w:pPr>
      <w:widowControl w:val="off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</w:pPr>
    <w:rPr>
      <w:rFonts w:ascii="Calibri" w:hAnsi="Calibri" w:cs="Calibri" w:eastAsiaTheme="minorEastAsia"/>
      <w:b/>
      <w:sz w:val="22"/>
      <w:szCs w:val="22"/>
    </w:rPr>
  </w:style>
  <w:style w:type="paragraph" w:styleId="1038" w:customStyle="1">
    <w:name w:val="Normal1"/>
    <w:pPr>
      <w:spacing w:before="100" w:after="100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</w:pPr>
    <w:rPr>
      <w:sz w:val="24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header" Target="header2.xml" /><Relationship Id="rId11" Type="http://schemas.openxmlformats.org/officeDocument/2006/relationships/header" Target="header3.xml" /><Relationship Id="rId12" Type="http://schemas.openxmlformats.org/officeDocument/2006/relationships/footer" Target="footer1.xml" /><Relationship Id="rId13" Type="http://schemas.openxmlformats.org/officeDocument/2006/relationships/footer" Target="footer2.xml" /><Relationship Id="rId14" Type="http://schemas.openxmlformats.org/officeDocument/2006/relationships/footer" Target="footer3.xml" /><Relationship Id="rId15" Type="http://schemas.openxmlformats.org/officeDocument/2006/relationships/customXml" Target="../customXml/item1.xml" /><Relationship Id="rId16" Type="http://schemas.openxmlformats.org/officeDocument/2006/relationships/image" Target="media/image1.png"/><Relationship Id="rId17" Type="http://schemas.openxmlformats.org/officeDocument/2006/relationships/hyperlink" Target="https://docs.cntd.ru/document/727231433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er2.xml.rels><?xml version="1.0" encoding="UTF-8" standalone="yes"?><Relationships xmlns="http://schemas.openxmlformats.org/package/2006/relationships"></Relationships>
</file>

<file path=word/_rels/footer3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_rels/header3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B4B9A04-3B6C-4570-AB6A-EF4B084908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Р7-Офис/7.4.0.351</Application>
  <Company>Роспотребнадзор в НСО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Гусарова Е.В.</dc:creator>
  <cp:revision>57</cp:revision>
  <dcterms:created xsi:type="dcterms:W3CDTF">2025-04-04T03:36:00Z</dcterms:created>
  <dcterms:modified xsi:type="dcterms:W3CDTF">2025-04-11T09:29:45Z</dcterms:modified>
  <cp:version>730895</cp:version>
</cp:coreProperties>
</file>