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797"/>
        <w:jc w:val="center"/>
        <w:rPr>
          <w:rFonts w:eastAsia="Calibri"/>
          <w:color w:val="000000"/>
          <w:highlight w:val="none"/>
          <w:lang w:eastAsia="en-US"/>
        </w:rPr>
      </w:pPr>
      <w:r>
        <w:rPr>
          <w:rFonts w:eastAsia="Calibri"/>
          <w:color w:val="000000"/>
          <w:highlight w:val="none"/>
          <w:lang w:eastAsia="en-US"/>
        </w:rPr>
      </w:r>
      <w:r>
        <w:rPr>
          <w:rFonts w:eastAsia="Calibri"/>
          <w:color w:val="000000"/>
          <w:highlight w:val="none"/>
          <w:lang w:eastAsia="en-US"/>
        </w:rPr>
      </w:r>
    </w:p>
    <w:p>
      <w:pPr>
        <w:ind w:left="7797"/>
        <w:jc w:val="center"/>
        <w:rPr>
          <w:rFonts w:eastAsia="Calibri"/>
          <w:color w:val="000000"/>
          <w:highlight w:val="none"/>
          <w:lang w:eastAsia="en-US"/>
        </w:rPr>
      </w:pPr>
      <w:r>
        <w:rPr>
          <w:rFonts w:eastAsia="Calibri"/>
          <w:color w:val="000000"/>
          <w:lang w:eastAsia="en-US"/>
        </w:rPr>
        <w:t xml:space="preserve">Приложение № 3</w:t>
      </w:r>
      <w:r>
        <w:rPr>
          <w:rFonts w:eastAsia="Calibri"/>
          <w:color w:val="000000"/>
          <w:highlight w:val="none"/>
          <w:lang w:eastAsia="en-US"/>
        </w:rPr>
      </w:r>
      <w:r>
        <w:rPr>
          <w:rFonts w:eastAsia="Calibri"/>
          <w:color w:val="000000"/>
          <w:highlight w:val="none"/>
          <w:lang w:eastAsia="en-US"/>
        </w:rPr>
      </w:r>
    </w:p>
    <w:p>
      <w:pPr>
        <w:ind w:left="7797"/>
        <w:jc w:val="center"/>
      </w:pPr>
      <w:r>
        <w:rPr>
          <w:rFonts w:eastAsia="Calibri"/>
          <w:color w:val="000000"/>
          <w:lang w:eastAsia="en-US"/>
        </w:rPr>
        <w:t xml:space="preserve">к приказу </w:t>
      </w:r>
      <w:r>
        <w:t xml:space="preserve">министерства</w:t>
      </w:r>
      <w:r/>
    </w:p>
    <w:p>
      <w:pPr>
        <w:ind w:left="7797"/>
        <w:jc w:val="center"/>
      </w:pPr>
      <w:r>
        <w:t xml:space="preserve">здравоохранения</w:t>
      </w:r>
      <w:r/>
    </w:p>
    <w:p>
      <w:pPr>
        <w:ind w:left="7797"/>
        <w:jc w:val="center"/>
        <w:rPr>
          <w:color w:val="000000"/>
        </w:rPr>
      </w:pPr>
      <w:r>
        <w:t xml:space="preserve">Новосибирской области</w:t>
      </w:r>
      <w:r>
        <w:rPr>
          <w:color w:val="000000"/>
        </w:rPr>
      </w:r>
      <w:r>
        <w:rPr>
          <w:color w:val="000000"/>
        </w:rPr>
      </w:r>
    </w:p>
    <w:p>
      <w:pPr>
        <w:ind w:left="0"/>
        <w:jc w:val="right"/>
        <w:rPr>
          <w:bCs/>
          <w:color w:val="000000"/>
        </w:rPr>
      </w:pPr>
      <w:r>
        <w:rPr>
          <w:bCs/>
          <w:color w:val="000000"/>
          <w:lang w:bidi="ru-RU"/>
        </w:rPr>
        <w:t xml:space="preserve">от ________ №_________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1037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/>
      <w:bookmarkStart w:id="1" w:name="undefined"/>
      <w:r/>
      <w:bookmarkEnd w:id="1"/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103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0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медицинских организаций, уполномоченных на проведение медицинского освидетельствования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территории 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восибирской области иностранных граждан или лиц без гражданства,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прибывших в Российскую Федерацию в це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лях, не связанных с осуществлением трудовой деятельности, на срок, превышающий девяносто календарных дней,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психоактивных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веществ, инфекционных заболеваний,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представляющих опасность для окружающих, предусмотренных перечнем, прилагаемым к Порядку проведения медицинского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психоактивных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веществ и их метаболитов, на наличие или отсутствие у иностран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утвержденному приказом Министерства здравоохранения Российской Федерации </w:t>
      </w:r>
      <w:hyperlink r:id="rId16" w:tooltip="https://docs.cntd.ru/document/727231433" w:history="1">
        <w:r>
          <w:rPr>
            <w:rStyle w:val="970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</w:rPr>
          <w:t xml:space="preserve">от 19.11.2021 №</w:t>
        </w:r>
        <w:r>
          <w:rPr>
            <w:rStyle w:val="970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</w:rPr>
          <w:t xml:space="preserve"> </w:t>
        </w:r>
        <w:r>
          <w:rPr>
            <w:rStyle w:val="970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</w:rPr>
          <w:t xml:space="preserve">1079н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«Об утверждении 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психоактивных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психоактивных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окружающих» и заболевания, вызываемого вирусом иммунодефицита человека (ВИЧ-инфекции)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6"/>
        <w:jc w:val="both"/>
      </w:pPr>
      <w:r/>
      <w:r/>
    </w:p>
    <w:p>
      <w:pPr>
        <w:pStyle w:val="1006"/>
        <w:jc w:val="both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9428"/>
      </w:tblGrid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«Новосибирская областная клиническая 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«Искитимская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Консультативно-диагностическая поликлиника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624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vMerge w:val="restart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«Куйбышевская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Новосибирская районная больница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«Северная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«Медицинская Миграционная Служба»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Медицинский центр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МедПроф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«Алекс»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учреждение здравоохранения «Медико-санитарная часть № 163 Федерального медико-биологического агентства»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«Астра-Мед»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«Содействие»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«Азия Мед»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r>
              <w:t xml:space="preserve">Общество с ограниченной ответственностью «СВ ПРОФИ ПЛЮС»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Частное учреждение здравоохранения «Клиническая больница «РЖД-Медицина» города Новосибирск»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учреждение здравоохранения «Центр гигиены и эпидемиологии № 25 Федерального медико-биологического агентства»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ЗАО «Сибирский научно-исследовательский институт медико-экологических технологий «Центр-Сирена»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«Медицинский миграционный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428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«Центр госпитализации»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100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993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3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20</w:t>
        </w:r>
        <w:r>
          <w:fldChar w:fldCharType="end"/>
        </w:r>
        <w:r/>
      </w:p>
    </w:sdtContent>
  </w:sdt>
  <w:p>
    <w:pPr>
      <w:pStyle w:val="8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rStyle w:val="1005"/>
      </w:rPr>
      <w:framePr w:wrap="around" w:vAnchor="text" w:hAnchor="margin" w:xAlign="center" w:y="1"/>
    </w:pPr>
    <w:r>
      <w:rPr>
        <w:rStyle w:val="1005"/>
      </w:rPr>
      <w:fldChar w:fldCharType="begin"/>
    </w:r>
    <w:r>
      <w:rPr>
        <w:rStyle w:val="1005"/>
      </w:rPr>
      <w:instrText xml:space="preserve">PAGE  </w:instrText>
    </w:r>
    <w:r>
      <w:rPr>
        <w:rStyle w:val="1005"/>
      </w:rPr>
      <w:fldChar w:fldCharType="separate"/>
    </w:r>
    <w:r>
      <w:rPr>
        <w:rStyle w:val="1005"/>
      </w:rPr>
      <w:t xml:space="preserve">2</w:t>
    </w:r>
    <w:r>
      <w:rPr>
        <w:rStyle w:val="1005"/>
      </w:rPr>
      <w:fldChar w:fldCharType="end"/>
    </w:r>
    <w:r>
      <w:rPr>
        <w:rStyle w:val="1005"/>
      </w:rPr>
    </w:r>
    <w:r>
      <w:rPr>
        <w:rStyle w:val="1005"/>
      </w:rPr>
    </w:r>
  </w:p>
  <w:p>
    <w:pPr>
      <w:pStyle w:val="83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3"/>
      <w:numFmt w:val="decimal"/>
      <w:pStyle w:val="995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3"/>
  </w:num>
  <w:num w:numId="16">
    <w:abstractNumId w:val="12"/>
  </w:num>
  <w:num w:numId="17">
    <w:abstractNumId w:val="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3" w:default="1">
    <w:name w:val="Normal"/>
    <w:qFormat/>
    <w:rPr>
      <w:sz w:val="24"/>
      <w:szCs w:val="24"/>
    </w:rPr>
  </w:style>
  <w:style w:type="paragraph" w:styleId="774">
    <w:name w:val="Heading 1"/>
    <w:basedOn w:val="773"/>
    <w:next w:val="773"/>
    <w:link w:val="989"/>
    <w:qFormat/>
    <w:pPr>
      <w:jc w:val="center"/>
      <w:keepNext/>
      <w:outlineLvl w:val="0"/>
    </w:pPr>
    <w:rPr>
      <w:b/>
      <w:bCs/>
      <w:szCs w:val="20"/>
    </w:rPr>
  </w:style>
  <w:style w:type="paragraph" w:styleId="775">
    <w:name w:val="Heading 2"/>
    <w:basedOn w:val="773"/>
    <w:next w:val="773"/>
    <w:link w:val="990"/>
    <w:qFormat/>
    <w:pPr>
      <w:jc w:val="center"/>
      <w:keepNext/>
      <w:outlineLvl w:val="1"/>
    </w:pPr>
    <w:rPr>
      <w:szCs w:val="20"/>
    </w:rPr>
  </w:style>
  <w:style w:type="paragraph" w:styleId="776">
    <w:name w:val="Heading 3"/>
    <w:basedOn w:val="773"/>
    <w:next w:val="773"/>
    <w:link w:val="82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7">
    <w:name w:val="Heading 4"/>
    <w:basedOn w:val="773"/>
    <w:next w:val="773"/>
    <w:link w:val="822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78">
    <w:name w:val="Heading 5"/>
    <w:basedOn w:val="773"/>
    <w:next w:val="773"/>
    <w:link w:val="8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9">
    <w:name w:val="Heading 6"/>
    <w:basedOn w:val="773"/>
    <w:next w:val="773"/>
    <w:link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table" w:styleId="786">
    <w:name w:val="Plain Table 1"/>
    <w:basedOn w:val="7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7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7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7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5 Dark"/>
    <w:basedOn w:val="7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>
    <w:name w:val="Grid Table 7 Colorful"/>
    <w:basedOn w:val="7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>
    <w:name w:val="List Table 1 Light"/>
    <w:basedOn w:val="7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7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7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>
    <w:name w:val="List Table 7 Colorful"/>
    <w:basedOn w:val="7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0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1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12" w:customStyle="1">
    <w:name w:val="Title Char"/>
    <w:uiPriority w:val="10"/>
    <w:rPr>
      <w:sz w:val="48"/>
      <w:szCs w:val="48"/>
    </w:rPr>
  </w:style>
  <w:style w:type="character" w:styleId="813" w:customStyle="1">
    <w:name w:val="Subtitle Char"/>
    <w:uiPriority w:val="11"/>
    <w:rPr>
      <w:sz w:val="24"/>
      <w:szCs w:val="24"/>
    </w:rPr>
  </w:style>
  <w:style w:type="character" w:styleId="814" w:customStyle="1">
    <w:name w:val="Quote Char"/>
    <w:uiPriority w:val="29"/>
    <w:rPr>
      <w:i/>
    </w:rPr>
  </w:style>
  <w:style w:type="character" w:styleId="815" w:customStyle="1">
    <w:name w:val="Intense Quote Char"/>
    <w:uiPriority w:val="30"/>
    <w:rPr>
      <w:i/>
    </w:rPr>
  </w:style>
  <w:style w:type="character" w:styleId="816" w:customStyle="1">
    <w:name w:val="Header Char"/>
    <w:basedOn w:val="783"/>
    <w:uiPriority w:val="99"/>
  </w:style>
  <w:style w:type="character" w:styleId="817" w:customStyle="1">
    <w:name w:val="Footnote Text Char"/>
    <w:uiPriority w:val="99"/>
    <w:rPr>
      <w:sz w:val="18"/>
    </w:rPr>
  </w:style>
  <w:style w:type="character" w:styleId="818" w:customStyle="1">
    <w:name w:val="Endnote Text Char"/>
    <w:uiPriority w:val="99"/>
    <w:rPr>
      <w:sz w:val="20"/>
    </w:rPr>
  </w:style>
  <w:style w:type="character" w:styleId="8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Heading 2 Char"/>
    <w:uiPriority w:val="9"/>
    <w:rPr>
      <w:rFonts w:ascii="Arial" w:hAnsi="Arial" w:eastAsia="Arial" w:cs="Arial"/>
      <w:sz w:val="34"/>
    </w:rPr>
  </w:style>
  <w:style w:type="character" w:styleId="821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822" w:customStyle="1">
    <w:name w:val="Заголовок 4 Знак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825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827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List Paragraph"/>
    <w:basedOn w:val="773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29">
    <w:name w:val="No Spacing"/>
    <w:uiPriority w:val="1"/>
    <w:qFormat/>
    <w:rPr>
      <w:lang w:eastAsia="zh-CN"/>
    </w:rPr>
  </w:style>
  <w:style w:type="paragraph" w:styleId="830">
    <w:name w:val="Title"/>
    <w:basedOn w:val="773"/>
    <w:next w:val="773"/>
    <w:link w:val="8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1" w:customStyle="1">
    <w:name w:val="Заголовок Знак"/>
    <w:link w:val="830"/>
    <w:uiPriority w:val="10"/>
    <w:rPr>
      <w:sz w:val="48"/>
      <w:szCs w:val="48"/>
    </w:rPr>
  </w:style>
  <w:style w:type="paragraph" w:styleId="832">
    <w:name w:val="Subtitle"/>
    <w:basedOn w:val="773"/>
    <w:next w:val="773"/>
    <w:link w:val="833"/>
    <w:uiPriority w:val="11"/>
    <w:qFormat/>
    <w:pPr>
      <w:spacing w:before="200" w:after="200"/>
    </w:pPr>
  </w:style>
  <w:style w:type="character" w:styleId="833" w:customStyle="1">
    <w:name w:val="Подзаголовок Знак"/>
    <w:link w:val="832"/>
    <w:uiPriority w:val="11"/>
    <w:rPr>
      <w:sz w:val="24"/>
      <w:szCs w:val="24"/>
    </w:rPr>
  </w:style>
  <w:style w:type="paragraph" w:styleId="834">
    <w:name w:val="Quote"/>
    <w:basedOn w:val="773"/>
    <w:next w:val="773"/>
    <w:link w:val="835"/>
    <w:uiPriority w:val="29"/>
    <w:qFormat/>
    <w:pPr>
      <w:ind w:left="720" w:right="720"/>
    </w:pPr>
    <w:rPr>
      <w:i/>
    </w:rPr>
  </w:style>
  <w:style w:type="character" w:styleId="835" w:customStyle="1">
    <w:name w:val="Цитата 2 Знак"/>
    <w:link w:val="834"/>
    <w:uiPriority w:val="29"/>
    <w:rPr>
      <w:i/>
    </w:rPr>
  </w:style>
  <w:style w:type="paragraph" w:styleId="836">
    <w:name w:val="Intense Quote"/>
    <w:basedOn w:val="773"/>
    <w:next w:val="773"/>
    <w:link w:val="8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 w:customStyle="1">
    <w:name w:val="Выделенная цитата Знак"/>
    <w:link w:val="836"/>
    <w:uiPriority w:val="30"/>
    <w:rPr>
      <w:i/>
    </w:rPr>
  </w:style>
  <w:style w:type="paragraph" w:styleId="838">
    <w:name w:val="Header"/>
    <w:basedOn w:val="773"/>
    <w:link w:val="839"/>
    <w:uiPriority w:val="99"/>
    <w:pPr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link w:val="838"/>
    <w:uiPriority w:val="99"/>
  </w:style>
  <w:style w:type="paragraph" w:styleId="840">
    <w:name w:val="Footer"/>
    <w:basedOn w:val="773"/>
    <w:link w:val="1019"/>
    <w:pPr>
      <w:tabs>
        <w:tab w:val="center" w:pos="4677" w:leader="none"/>
        <w:tab w:val="right" w:pos="9355" w:leader="none"/>
      </w:tabs>
    </w:pPr>
  </w:style>
  <w:style w:type="character" w:styleId="841" w:customStyle="1">
    <w:name w:val="Footer Char"/>
    <w:uiPriority w:val="99"/>
  </w:style>
  <w:style w:type="paragraph" w:styleId="842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43" w:customStyle="1">
    <w:name w:val="Caption Char"/>
    <w:uiPriority w:val="99"/>
  </w:style>
  <w:style w:type="table" w:styleId="844">
    <w:name w:val="Table Grid"/>
    <w:basedOn w:val="784"/>
    <w:tblPr/>
  </w:style>
  <w:style w:type="table" w:styleId="84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2"/>
    <w:link w:val="102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70">
    <w:name w:val="Hyperlink"/>
    <w:rPr>
      <w:color w:val="0000ff"/>
      <w:u w:val="single"/>
    </w:rPr>
  </w:style>
  <w:style w:type="paragraph" w:styleId="971">
    <w:name w:val="footnote text"/>
    <w:basedOn w:val="773"/>
    <w:link w:val="972"/>
    <w:uiPriority w:val="99"/>
    <w:semiHidden/>
    <w:unhideWhenUsed/>
    <w:pPr>
      <w:spacing w:after="40"/>
    </w:pPr>
    <w:rPr>
      <w:sz w:val="18"/>
    </w:rPr>
  </w:style>
  <w:style w:type="character" w:styleId="972" w:customStyle="1">
    <w:name w:val="Текст сноски Знак"/>
    <w:link w:val="971"/>
    <w:uiPriority w:val="99"/>
    <w:rPr>
      <w:sz w:val="18"/>
    </w:rPr>
  </w:style>
  <w:style w:type="character" w:styleId="973">
    <w:name w:val="footnote reference"/>
    <w:uiPriority w:val="99"/>
    <w:unhideWhenUsed/>
    <w:rPr>
      <w:vertAlign w:val="superscript"/>
    </w:rPr>
  </w:style>
  <w:style w:type="paragraph" w:styleId="974">
    <w:name w:val="endnote text"/>
    <w:basedOn w:val="773"/>
    <w:link w:val="975"/>
    <w:uiPriority w:val="99"/>
    <w:semiHidden/>
    <w:unhideWhenUsed/>
    <w:rPr>
      <w:sz w:val="20"/>
    </w:rPr>
  </w:style>
  <w:style w:type="character" w:styleId="975" w:customStyle="1">
    <w:name w:val="Текст концевой сноски Знак"/>
    <w:link w:val="974"/>
    <w:uiPriority w:val="99"/>
    <w:rPr>
      <w:sz w:val="20"/>
    </w:rPr>
  </w:style>
  <w:style w:type="character" w:styleId="976">
    <w:name w:val="endnote reference"/>
    <w:uiPriority w:val="99"/>
    <w:semiHidden/>
    <w:unhideWhenUsed/>
    <w:rPr>
      <w:vertAlign w:val="superscript"/>
    </w:rPr>
  </w:style>
  <w:style w:type="paragraph" w:styleId="977">
    <w:name w:val="toc 1"/>
    <w:basedOn w:val="773"/>
    <w:next w:val="773"/>
    <w:uiPriority w:val="39"/>
    <w:unhideWhenUsed/>
    <w:pPr>
      <w:spacing w:after="57"/>
    </w:pPr>
  </w:style>
  <w:style w:type="paragraph" w:styleId="978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79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80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81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82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83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84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85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86">
    <w:name w:val="TOC Heading"/>
    <w:uiPriority w:val="39"/>
    <w:unhideWhenUsed/>
    <w:rPr>
      <w:lang w:eastAsia="zh-CN"/>
    </w:rPr>
  </w:style>
  <w:style w:type="paragraph" w:styleId="987">
    <w:name w:val="table of figures"/>
    <w:basedOn w:val="773"/>
    <w:next w:val="773"/>
    <w:uiPriority w:val="99"/>
    <w:unhideWhenUsed/>
  </w:style>
  <w:style w:type="paragraph" w:styleId="988">
    <w:name w:val="Body Text"/>
    <w:basedOn w:val="773"/>
    <w:link w:val="1015"/>
    <w:pPr>
      <w:spacing w:after="120"/>
    </w:pPr>
  </w:style>
  <w:style w:type="character" w:styleId="989" w:customStyle="1">
    <w:name w:val="Заголовок 1 Знак"/>
    <w:link w:val="774"/>
    <w:rPr>
      <w:b/>
      <w:bCs/>
      <w:sz w:val="24"/>
      <w:lang w:val="ru-RU" w:eastAsia="ru-RU" w:bidi="ar-SA"/>
    </w:rPr>
  </w:style>
  <w:style w:type="character" w:styleId="990" w:customStyle="1">
    <w:name w:val="Заголовок 2 Знак"/>
    <w:link w:val="775"/>
    <w:semiHidden/>
    <w:rPr>
      <w:sz w:val="24"/>
      <w:lang w:val="ru-RU" w:eastAsia="ru-RU" w:bidi="ar-SA"/>
    </w:rPr>
  </w:style>
  <w:style w:type="paragraph" w:styleId="991" w:customStyle="1">
    <w:name w:val="Название1"/>
    <w:basedOn w:val="773"/>
    <w:link w:val="992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92" w:customStyle="1">
    <w:name w:val="Знак Знак2"/>
    <w:link w:val="991"/>
    <w:rPr>
      <w:rFonts w:ascii="Courier New" w:hAnsi="Courier New" w:cs="Courier New"/>
      <w:lang w:val="ru-RU" w:eastAsia="ru-RU" w:bidi="ar-SA"/>
    </w:rPr>
  </w:style>
  <w:style w:type="paragraph" w:styleId="993" w:customStyle="1">
    <w:name w:val="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94">
    <w:name w:val="Normal (Web)"/>
    <w:basedOn w:val="773"/>
    <w:uiPriority w:val="99"/>
    <w:pPr>
      <w:spacing w:after="240"/>
    </w:pPr>
  </w:style>
  <w:style w:type="paragraph" w:styleId="995" w:customStyle="1">
    <w:name w:val="body text Знак Знак"/>
    <w:link w:val="996"/>
    <w:pPr>
      <w:numPr>
        <w:ilvl w:val="0"/>
        <w:numId w:val="4"/>
      </w:numPr>
      <w:jc w:val="both"/>
    </w:pPr>
    <w:rPr>
      <w:sz w:val="24"/>
      <w:szCs w:val="24"/>
    </w:rPr>
  </w:style>
  <w:style w:type="character" w:styleId="996" w:customStyle="1">
    <w:name w:val="body text Знак Знак Знак1"/>
    <w:link w:val="995"/>
    <w:rPr>
      <w:sz w:val="24"/>
      <w:szCs w:val="24"/>
      <w:lang w:val="ru-RU" w:eastAsia="ru-RU" w:bidi="ar-SA"/>
    </w:rPr>
  </w:style>
  <w:style w:type="paragraph" w:styleId="997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98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99">
    <w:name w:val="Body Text Indent 2"/>
    <w:basedOn w:val="773"/>
    <w:link w:val="1000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1000" w:customStyle="1">
    <w:name w:val="Основной текст с отступом 2 Знак"/>
    <w:link w:val="999"/>
    <w:rPr>
      <w:sz w:val="28"/>
      <w:lang w:val="ru-RU" w:eastAsia="ru-RU" w:bidi="ar-SA"/>
    </w:rPr>
  </w:style>
  <w:style w:type="character" w:styleId="1001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1002" w:customStyle="1">
    <w:name w:val="Наименование таблицы Знак"/>
    <w:next w:val="773"/>
    <w:pPr>
      <w:jc w:val="center"/>
    </w:pPr>
    <w:rPr>
      <w:b/>
      <w:sz w:val="22"/>
    </w:rPr>
  </w:style>
  <w:style w:type="paragraph" w:styleId="1003" w:customStyle="1">
    <w:name w:val="Знак1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04" w:customStyle="1">
    <w:name w:val="Основной текст гд"/>
    <w:basedOn w:val="988"/>
    <w:pPr>
      <w:jc w:val="center"/>
      <w:keepNext/>
      <w:spacing w:after="0"/>
      <w:widowControl w:val="off"/>
    </w:pPr>
    <w:rPr>
      <w:sz w:val="22"/>
    </w:rPr>
  </w:style>
  <w:style w:type="character" w:styleId="1005">
    <w:name w:val="page number"/>
    <w:basedOn w:val="783"/>
  </w:style>
  <w:style w:type="paragraph" w:styleId="1006" w:customStyle="1">
    <w:name w:val="ConsPlusNormal"/>
    <w:rPr>
      <w:rFonts w:ascii="Arial" w:hAnsi="Arial" w:eastAsia="MS Mincho" w:cs="Arial"/>
      <w:lang w:eastAsia="ja-JP"/>
    </w:rPr>
  </w:style>
  <w:style w:type="paragraph" w:styleId="1007">
    <w:name w:val="Body Text Indent"/>
    <w:basedOn w:val="773"/>
    <w:pPr>
      <w:ind w:left="283"/>
      <w:spacing w:after="120"/>
    </w:pPr>
  </w:style>
  <w:style w:type="paragraph" w:styleId="1008" w:customStyle="1">
    <w:name w:val="Heading"/>
    <w:rPr>
      <w:rFonts w:ascii="Arial" w:hAnsi="Arial" w:cs="Arial"/>
      <w:b/>
      <w:bCs/>
      <w:sz w:val="22"/>
      <w:szCs w:val="22"/>
    </w:rPr>
  </w:style>
  <w:style w:type="paragraph" w:styleId="1009">
    <w:name w:val="Body Text Indent 3"/>
    <w:basedOn w:val="773"/>
    <w:pPr>
      <w:ind w:left="5760"/>
    </w:pPr>
  </w:style>
  <w:style w:type="paragraph" w:styleId="1010" w:customStyle="1">
    <w:name w:val="Знак Знак Знак Знак Знак Знак Знак Знак Знак Знак Знак Знак Знак Знак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1" w:customStyle="1">
    <w:name w:val="Знак1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2" w:customStyle="1">
    <w:name w:val="Знак Знак Знак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3">
    <w:name w:val="Note Heading"/>
    <w:basedOn w:val="773"/>
    <w:next w:val="773"/>
    <w:pPr>
      <w:jc w:val="both"/>
    </w:pPr>
    <w:rPr>
      <w:szCs w:val="20"/>
    </w:rPr>
  </w:style>
  <w:style w:type="paragraph" w:styleId="1014" w:customStyle="1">
    <w:name w:val="Знак1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15" w:customStyle="1">
    <w:name w:val="Основной текст Знак"/>
    <w:link w:val="988"/>
    <w:rPr>
      <w:sz w:val="24"/>
      <w:szCs w:val="24"/>
      <w:lang w:val="ru-RU" w:eastAsia="ru-RU" w:bidi="ar-SA"/>
    </w:rPr>
  </w:style>
  <w:style w:type="paragraph" w:styleId="1016">
    <w:name w:val="Balloon Text"/>
    <w:basedOn w:val="773"/>
    <w:link w:val="1017"/>
    <w:rPr>
      <w:rFonts w:ascii="Tahoma" w:hAnsi="Tahoma" w:cs="Tahoma"/>
      <w:sz w:val="16"/>
      <w:szCs w:val="16"/>
    </w:rPr>
  </w:style>
  <w:style w:type="character" w:styleId="1017" w:customStyle="1">
    <w:name w:val="Текст выноски Знак"/>
    <w:link w:val="1016"/>
    <w:rPr>
      <w:rFonts w:ascii="Tahoma" w:hAnsi="Tahoma" w:cs="Tahoma"/>
      <w:sz w:val="16"/>
      <w:szCs w:val="16"/>
      <w:lang w:val="ru-RU" w:eastAsia="ru-RU" w:bidi="ar-SA"/>
    </w:rPr>
  </w:style>
  <w:style w:type="paragraph" w:styleId="1018" w:customStyle="1">
    <w:name w:val="Знак Знак Знак Знак Знак Знак Знак Знак Знак Знак Знак Знак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19" w:customStyle="1">
    <w:name w:val="Нижний колонтитул Знак"/>
    <w:link w:val="840"/>
    <w:rPr>
      <w:sz w:val="24"/>
      <w:szCs w:val="24"/>
      <w:lang w:val="ru-RU" w:eastAsia="ru-RU" w:bidi="ar-SA"/>
    </w:rPr>
  </w:style>
  <w:style w:type="character" w:styleId="1020" w:customStyle="1">
    <w:name w:val="Гиперссылка1"/>
    <w:rPr>
      <w:color w:val="0000ff"/>
      <w:u w:val="single"/>
    </w:rPr>
  </w:style>
  <w:style w:type="paragraph" w:styleId="1021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2" w:customStyle="1">
    <w:name w:val="Основной текст1"/>
    <w:link w:val="902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1023" w:customStyle="1">
    <w:name w:val="docdata"/>
    <w:basedOn w:val="773"/>
    <w:pPr>
      <w:spacing w:before="100" w:beforeAutospacing="1" w:after="100" w:afterAutospacing="1"/>
    </w:pPr>
  </w:style>
  <w:style w:type="paragraph" w:styleId="1024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1025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6" w:customStyle="1">
    <w:name w:val="s_16"/>
    <w:basedOn w:val="773"/>
    <w:pPr>
      <w:spacing w:before="100" w:beforeAutospacing="1" w:after="100" w:afterAutospacing="1"/>
    </w:pPr>
  </w:style>
  <w:style w:type="paragraph" w:styleId="1027" w:customStyle="1">
    <w:name w:val="s_1"/>
    <w:basedOn w:val="773"/>
    <w:pPr>
      <w:spacing w:before="100" w:beforeAutospacing="1" w:after="100" w:afterAutospacing="1"/>
    </w:pPr>
  </w:style>
  <w:style w:type="paragraph" w:styleId="1028" w:customStyle="1">
    <w:name w:val="Знак"/>
    <w:basedOn w:val="7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29">
    <w:name w:val="Body Text 2"/>
    <w:basedOn w:val="773"/>
    <w:link w:val="1030"/>
    <w:pPr>
      <w:spacing w:after="120" w:line="480" w:lineRule="auto"/>
    </w:pPr>
  </w:style>
  <w:style w:type="character" w:styleId="1030" w:customStyle="1">
    <w:name w:val="Основной текст 2 Знак"/>
    <w:basedOn w:val="783"/>
    <w:link w:val="1029"/>
    <w:rPr>
      <w:sz w:val="24"/>
      <w:szCs w:val="24"/>
    </w:rPr>
  </w:style>
  <w:style w:type="character" w:styleId="1031" w:customStyle="1">
    <w:name w:val="Неразрешенное упоминание1"/>
    <w:basedOn w:val="783"/>
    <w:uiPriority w:val="99"/>
    <w:semiHidden/>
    <w:unhideWhenUsed/>
    <w:rPr>
      <w:color w:val="605e5c"/>
      <w:shd w:val="clear" w:color="auto" w:fill="e1dfdd"/>
    </w:rPr>
  </w:style>
  <w:style w:type="character" w:styleId="1032">
    <w:name w:val="annotation reference"/>
    <w:basedOn w:val="783"/>
    <w:uiPriority w:val="99"/>
    <w:semiHidden/>
    <w:unhideWhenUsed/>
    <w:rPr>
      <w:sz w:val="16"/>
      <w:szCs w:val="16"/>
    </w:rPr>
  </w:style>
  <w:style w:type="paragraph" w:styleId="1033">
    <w:name w:val="annotation text"/>
    <w:basedOn w:val="773"/>
    <w:link w:val="1034"/>
    <w:uiPriority w:val="99"/>
    <w:semiHidden/>
    <w:unhideWhenUsed/>
    <w:rPr>
      <w:sz w:val="20"/>
      <w:szCs w:val="20"/>
    </w:rPr>
  </w:style>
  <w:style w:type="character" w:styleId="1034" w:customStyle="1">
    <w:name w:val="Текст примечания Знак"/>
    <w:basedOn w:val="783"/>
    <w:link w:val="1033"/>
    <w:uiPriority w:val="99"/>
    <w:semiHidden/>
  </w:style>
  <w:style w:type="paragraph" w:styleId="1035">
    <w:name w:val="annotation subject"/>
    <w:basedOn w:val="1033"/>
    <w:next w:val="1033"/>
    <w:link w:val="1036"/>
    <w:uiPriority w:val="99"/>
    <w:semiHidden/>
    <w:unhideWhenUsed/>
    <w:rPr>
      <w:b/>
      <w:bCs/>
    </w:rPr>
  </w:style>
  <w:style w:type="character" w:styleId="1036" w:customStyle="1">
    <w:name w:val="Тема примечания Знак"/>
    <w:basedOn w:val="1034"/>
    <w:link w:val="1035"/>
    <w:uiPriority w:val="99"/>
    <w:semiHidden/>
    <w:rPr>
      <w:b/>
      <w:bCs/>
    </w:rPr>
  </w:style>
  <w:style w:type="paragraph" w:styleId="1037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</w:rPr>
  </w:style>
  <w:style w:type="paragraph" w:styleId="1038" w:customStyle="1">
    <w:name w:val="Normal1"/>
    <w:pPr>
      <w:spacing w:before="100" w:after="1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docs.cntd.ru/document/7272314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9A04-3B6C-4570-AB6A-EF4B0849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57</cp:revision>
  <dcterms:created xsi:type="dcterms:W3CDTF">2025-04-04T03:36:00Z</dcterms:created>
  <dcterms:modified xsi:type="dcterms:W3CDTF">2025-04-10T10:33:22Z</dcterms:modified>
  <cp:version>730895</cp:version>
</cp:coreProperties>
</file>