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6" w:type="dxa"/>
        <w:tblLayout w:type="fixed"/>
        <w:tblLook w:val="04A0" w:firstRow="1" w:lastRow="0" w:firstColumn="1" w:lastColumn="0" w:noHBand="0" w:noVBand="1"/>
      </w:tblPr>
      <w:tblGrid>
        <w:gridCol w:w="1918"/>
        <w:gridCol w:w="1953"/>
        <w:gridCol w:w="2000"/>
        <w:gridCol w:w="1517"/>
        <w:gridCol w:w="471"/>
        <w:gridCol w:w="2176"/>
      </w:tblGrid>
      <w:tr w:rsidR="00CF2E01">
        <w:trPr>
          <w:trHeight w:val="1075"/>
        </w:trPr>
        <w:tc>
          <w:tcPr>
            <w:tcW w:w="10035" w:type="dxa"/>
            <w:gridSpan w:val="6"/>
            <w:tcBorders>
              <w:top w:val="none" w:sz="0" w:space="0" w:color="000000"/>
              <w:left w:val="none" w:sz="0" w:space="0" w:color="000000"/>
              <w:bottom w:val="none" w:sz="0" w:space="0" w:color="000000"/>
              <w:right w:val="none" w:sz="0" w:space="0" w:color="000000"/>
            </w:tcBorders>
          </w:tcPr>
          <w:p w:rsidR="00CF2E01" w:rsidRDefault="004352AC">
            <w:pPr>
              <w:pStyle w:val="LO-Normal"/>
              <w:spacing w:before="0" w:after="0"/>
              <w:jc w:val="center"/>
              <w:rPr>
                <w:sz w:val="2"/>
                <w:szCs w:val="24"/>
              </w:rPr>
            </w:pPr>
            <w:r>
              <w:rPr>
                <w:noProof/>
                <w:lang w:eastAsia="ru-RU"/>
              </w:rPr>
              <mc:AlternateContent>
                <mc:Choice Requires="wpg">
                  <w:drawing>
                    <wp:inline distT="0" distB="0" distL="0" distR="0">
                      <wp:extent cx="556260" cy="65532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2" t="-17" r="-19" b="-13"/>
                              <a:stretch/>
                            </pic:blipFill>
                            <pic:spPr bwMode="auto">
                              <a:xfrm>
                                <a:off x="0" y="0"/>
                                <a:ext cx="556260" cy="65532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3.80pt;height:51.60pt;mso-wrap-distance-left:0.00pt;mso-wrap-distance-top:0.00pt;mso-wrap-distance-right:0.00pt;mso-wrap-distance-bottom:0.00pt;" stroked="f">
                      <v:path textboxrect="0,0,0,0"/>
                      <v:imagedata r:id="rId10" o:title=""/>
                    </v:shape>
                  </w:pict>
                </mc:Fallback>
              </mc:AlternateContent>
            </w:r>
          </w:p>
        </w:tc>
      </w:tr>
      <w:tr w:rsidR="00CF2E01">
        <w:tc>
          <w:tcPr>
            <w:tcW w:w="10035" w:type="dxa"/>
            <w:gridSpan w:val="6"/>
            <w:tcBorders>
              <w:top w:val="none" w:sz="0" w:space="0" w:color="000000"/>
              <w:left w:val="none" w:sz="0" w:space="0" w:color="000000"/>
              <w:bottom w:val="none" w:sz="0" w:space="0" w:color="000000"/>
              <w:right w:val="none" w:sz="0" w:space="0" w:color="000000"/>
            </w:tcBorders>
          </w:tcPr>
          <w:p w:rsidR="00CF2E01" w:rsidRDefault="00CF2E01">
            <w:pPr>
              <w:pStyle w:val="LO-Normal"/>
              <w:spacing w:before="0" w:after="0"/>
              <w:jc w:val="both"/>
              <w:rPr>
                <w:sz w:val="2"/>
                <w:szCs w:val="24"/>
              </w:rPr>
            </w:pPr>
          </w:p>
        </w:tc>
      </w:tr>
      <w:tr w:rsidR="00CF2E01">
        <w:tc>
          <w:tcPr>
            <w:tcW w:w="10035" w:type="dxa"/>
            <w:gridSpan w:val="6"/>
            <w:tcBorders>
              <w:top w:val="none" w:sz="0" w:space="0" w:color="000000"/>
              <w:left w:val="none" w:sz="0" w:space="0" w:color="000000"/>
              <w:bottom w:val="none" w:sz="0" w:space="0" w:color="000000"/>
              <w:right w:val="none" w:sz="0" w:space="0" w:color="000000"/>
            </w:tcBorders>
          </w:tcPr>
          <w:p w:rsidR="00CF2E01" w:rsidRDefault="004352AC">
            <w:pPr>
              <w:pStyle w:val="LO-Normal"/>
              <w:spacing w:before="0" w:after="0"/>
              <w:jc w:val="center"/>
            </w:pPr>
            <w:r>
              <w:rPr>
                <w:b/>
                <w:sz w:val="28"/>
                <w:szCs w:val="28"/>
              </w:rPr>
              <w:t>МИНИСТЕРСТВО ЗДРАВООХРАНЕНИЯ НОВОСИБИРСКОЙ ОБЛАСТИ</w:t>
            </w:r>
          </w:p>
        </w:tc>
      </w:tr>
      <w:tr w:rsidR="00CF2E01">
        <w:tc>
          <w:tcPr>
            <w:tcW w:w="1918" w:type="dxa"/>
            <w:tcBorders>
              <w:top w:val="none" w:sz="0" w:space="0" w:color="000000"/>
              <w:left w:val="none" w:sz="0" w:space="0" w:color="000000"/>
              <w:bottom w:val="none" w:sz="0" w:space="0" w:color="000000"/>
              <w:right w:val="none" w:sz="0" w:space="0" w:color="000000"/>
            </w:tcBorders>
          </w:tcPr>
          <w:p w:rsidR="00CF2E01" w:rsidRDefault="00CF2E01">
            <w:pPr>
              <w:pStyle w:val="LO-Normal"/>
              <w:spacing w:before="0" w:after="0"/>
              <w:jc w:val="both"/>
              <w:rPr>
                <w:b/>
                <w:sz w:val="28"/>
                <w:szCs w:val="24"/>
              </w:rPr>
            </w:pPr>
          </w:p>
        </w:tc>
        <w:tc>
          <w:tcPr>
            <w:tcW w:w="1953" w:type="dxa"/>
            <w:tcBorders>
              <w:top w:val="none" w:sz="0" w:space="0" w:color="000000"/>
              <w:left w:val="none" w:sz="0" w:space="0" w:color="000000"/>
              <w:bottom w:val="none" w:sz="0" w:space="0" w:color="000000"/>
              <w:right w:val="none" w:sz="0" w:space="0" w:color="000000"/>
            </w:tcBorders>
          </w:tcPr>
          <w:p w:rsidR="00CF2E01" w:rsidRDefault="00CF2E01">
            <w:pPr>
              <w:pStyle w:val="LO-Normal"/>
              <w:spacing w:before="0" w:after="0"/>
              <w:jc w:val="both"/>
              <w:rPr>
                <w:b/>
                <w:sz w:val="28"/>
                <w:szCs w:val="24"/>
              </w:rPr>
            </w:pPr>
          </w:p>
        </w:tc>
        <w:tc>
          <w:tcPr>
            <w:tcW w:w="2000" w:type="dxa"/>
            <w:tcBorders>
              <w:top w:val="none" w:sz="0" w:space="0" w:color="000000"/>
              <w:left w:val="none" w:sz="0" w:space="0" w:color="000000"/>
              <w:bottom w:val="none" w:sz="0" w:space="0" w:color="000000"/>
              <w:right w:val="none" w:sz="0" w:space="0" w:color="000000"/>
            </w:tcBorders>
          </w:tcPr>
          <w:p w:rsidR="00CF2E01" w:rsidRDefault="00CF2E01">
            <w:pPr>
              <w:pStyle w:val="LO-Normal"/>
              <w:spacing w:before="0" w:after="0"/>
              <w:jc w:val="both"/>
              <w:rPr>
                <w:b/>
                <w:sz w:val="28"/>
                <w:szCs w:val="24"/>
              </w:rPr>
            </w:pPr>
          </w:p>
        </w:tc>
        <w:tc>
          <w:tcPr>
            <w:tcW w:w="1988" w:type="dxa"/>
            <w:gridSpan w:val="2"/>
            <w:tcBorders>
              <w:top w:val="none" w:sz="0" w:space="0" w:color="000000"/>
              <w:left w:val="none" w:sz="0" w:space="0" w:color="000000"/>
              <w:bottom w:val="none" w:sz="0" w:space="0" w:color="000000"/>
              <w:right w:val="none" w:sz="0" w:space="0" w:color="000000"/>
            </w:tcBorders>
          </w:tcPr>
          <w:p w:rsidR="00CF2E01" w:rsidRDefault="00CF2E01">
            <w:pPr>
              <w:pStyle w:val="LO-Normal"/>
              <w:spacing w:before="0" w:after="0"/>
              <w:jc w:val="both"/>
              <w:rPr>
                <w:b/>
                <w:sz w:val="28"/>
                <w:szCs w:val="24"/>
              </w:rPr>
            </w:pPr>
          </w:p>
        </w:tc>
        <w:tc>
          <w:tcPr>
            <w:tcW w:w="2176" w:type="dxa"/>
            <w:tcBorders>
              <w:top w:val="none" w:sz="0" w:space="0" w:color="000000"/>
              <w:left w:val="none" w:sz="0" w:space="0" w:color="000000"/>
              <w:bottom w:val="none" w:sz="0" w:space="0" w:color="000000"/>
              <w:right w:val="none" w:sz="0" w:space="0" w:color="000000"/>
            </w:tcBorders>
          </w:tcPr>
          <w:p w:rsidR="00CF2E01" w:rsidRDefault="00CF2E01">
            <w:pPr>
              <w:pStyle w:val="LO-Normal"/>
              <w:spacing w:before="0" w:after="0"/>
              <w:jc w:val="both"/>
              <w:rPr>
                <w:b/>
                <w:sz w:val="28"/>
                <w:szCs w:val="24"/>
              </w:rPr>
            </w:pPr>
          </w:p>
        </w:tc>
      </w:tr>
      <w:tr w:rsidR="00CF2E01">
        <w:tc>
          <w:tcPr>
            <w:tcW w:w="10035" w:type="dxa"/>
            <w:gridSpan w:val="6"/>
            <w:tcBorders>
              <w:top w:val="none" w:sz="0" w:space="0" w:color="000000"/>
              <w:left w:val="none" w:sz="0" w:space="0" w:color="000000"/>
              <w:bottom w:val="none" w:sz="0" w:space="0" w:color="000000"/>
              <w:right w:val="none" w:sz="0" w:space="0" w:color="000000"/>
            </w:tcBorders>
          </w:tcPr>
          <w:p w:rsidR="00CF2E01" w:rsidRDefault="004352AC">
            <w:pPr>
              <w:pStyle w:val="a7"/>
              <w:ind w:right="0"/>
            </w:pPr>
            <w:r>
              <w:t>ПРИКАЗ</w:t>
            </w:r>
          </w:p>
        </w:tc>
      </w:tr>
      <w:tr w:rsidR="00CF2E01">
        <w:tc>
          <w:tcPr>
            <w:tcW w:w="1918" w:type="dxa"/>
            <w:tcBorders>
              <w:bottom w:val="single" w:sz="4" w:space="0" w:color="000000"/>
            </w:tcBorders>
          </w:tcPr>
          <w:p w:rsidR="00CF2E01" w:rsidRDefault="00CF2E01">
            <w:pPr>
              <w:pStyle w:val="LO-Normal"/>
              <w:spacing w:before="0" w:after="0"/>
              <w:jc w:val="both"/>
              <w:rPr>
                <w:sz w:val="28"/>
                <w:szCs w:val="28"/>
              </w:rPr>
            </w:pPr>
          </w:p>
        </w:tc>
        <w:tc>
          <w:tcPr>
            <w:tcW w:w="1953" w:type="dxa"/>
          </w:tcPr>
          <w:p w:rsidR="00CF2E01" w:rsidRDefault="00CF2E01">
            <w:pPr>
              <w:pStyle w:val="LO-Normal"/>
              <w:spacing w:before="0" w:after="0"/>
              <w:jc w:val="both"/>
              <w:rPr>
                <w:sz w:val="28"/>
                <w:szCs w:val="28"/>
              </w:rPr>
            </w:pPr>
          </w:p>
        </w:tc>
        <w:tc>
          <w:tcPr>
            <w:tcW w:w="2000" w:type="dxa"/>
          </w:tcPr>
          <w:p w:rsidR="00CF2E01" w:rsidRDefault="00CF2E01">
            <w:pPr>
              <w:pStyle w:val="LO-Normal"/>
              <w:spacing w:before="0" w:after="0"/>
              <w:jc w:val="both"/>
              <w:rPr>
                <w:sz w:val="28"/>
                <w:szCs w:val="28"/>
              </w:rPr>
            </w:pPr>
          </w:p>
        </w:tc>
        <w:tc>
          <w:tcPr>
            <w:tcW w:w="1517" w:type="dxa"/>
          </w:tcPr>
          <w:p w:rsidR="00CF2E01" w:rsidRDefault="00CF2E01">
            <w:pPr>
              <w:pStyle w:val="LO-Normal"/>
              <w:spacing w:before="0" w:after="0"/>
              <w:jc w:val="both"/>
              <w:rPr>
                <w:sz w:val="28"/>
                <w:szCs w:val="28"/>
              </w:rPr>
            </w:pPr>
          </w:p>
        </w:tc>
        <w:tc>
          <w:tcPr>
            <w:tcW w:w="471" w:type="dxa"/>
          </w:tcPr>
          <w:p w:rsidR="00CF2E01" w:rsidRPr="00AD5E9F" w:rsidRDefault="00AD5E9F">
            <w:pPr>
              <w:pStyle w:val="LO-Normal"/>
              <w:spacing w:before="0" w:after="0"/>
              <w:jc w:val="both"/>
              <w:rPr>
                <w:sz w:val="28"/>
                <w:szCs w:val="28"/>
              </w:rPr>
            </w:pPr>
            <w:r>
              <w:rPr>
                <w:sz w:val="28"/>
                <w:szCs w:val="28"/>
              </w:rPr>
              <w:t>№</w:t>
            </w:r>
          </w:p>
        </w:tc>
        <w:tc>
          <w:tcPr>
            <w:tcW w:w="2176" w:type="dxa"/>
            <w:tcBorders>
              <w:bottom w:val="single" w:sz="4" w:space="0" w:color="000000"/>
            </w:tcBorders>
          </w:tcPr>
          <w:p w:rsidR="00CF2E01" w:rsidRDefault="00CF2E01">
            <w:pPr>
              <w:pStyle w:val="LO-Normal"/>
              <w:spacing w:before="0" w:after="0"/>
              <w:jc w:val="center"/>
              <w:rPr>
                <w:sz w:val="28"/>
                <w:szCs w:val="28"/>
              </w:rPr>
            </w:pPr>
          </w:p>
        </w:tc>
      </w:tr>
      <w:tr w:rsidR="00CF2E01">
        <w:tc>
          <w:tcPr>
            <w:tcW w:w="1918" w:type="dxa"/>
            <w:tcBorders>
              <w:top w:val="single" w:sz="4" w:space="0" w:color="000000"/>
            </w:tcBorders>
          </w:tcPr>
          <w:p w:rsidR="00CF2E01" w:rsidRDefault="00CF2E01">
            <w:pPr>
              <w:pStyle w:val="LO-Normal"/>
              <w:spacing w:before="0" w:after="0"/>
              <w:jc w:val="both"/>
              <w:rPr>
                <w:sz w:val="28"/>
                <w:szCs w:val="24"/>
                <w:lang w:val="en-US"/>
              </w:rPr>
            </w:pPr>
          </w:p>
        </w:tc>
        <w:tc>
          <w:tcPr>
            <w:tcW w:w="1953" w:type="dxa"/>
          </w:tcPr>
          <w:p w:rsidR="00CF2E01" w:rsidRDefault="00CF2E01">
            <w:pPr>
              <w:pStyle w:val="LO-Normal"/>
              <w:spacing w:before="0" w:after="0"/>
              <w:jc w:val="both"/>
              <w:rPr>
                <w:sz w:val="28"/>
                <w:szCs w:val="24"/>
                <w:lang w:val="en-US"/>
              </w:rPr>
            </w:pPr>
          </w:p>
        </w:tc>
        <w:tc>
          <w:tcPr>
            <w:tcW w:w="2000" w:type="dxa"/>
          </w:tcPr>
          <w:p w:rsidR="00CF2E01" w:rsidRDefault="004352AC">
            <w:pPr>
              <w:pStyle w:val="LO-Normal"/>
              <w:spacing w:before="0" w:after="0"/>
              <w:jc w:val="center"/>
            </w:pPr>
            <w:r>
              <w:rPr>
                <w:szCs w:val="24"/>
              </w:rPr>
              <w:t>г. Новосибирск</w:t>
            </w:r>
          </w:p>
        </w:tc>
        <w:tc>
          <w:tcPr>
            <w:tcW w:w="1988" w:type="dxa"/>
            <w:gridSpan w:val="2"/>
          </w:tcPr>
          <w:p w:rsidR="00CF2E01" w:rsidRDefault="00CF2E01">
            <w:pPr>
              <w:pStyle w:val="LO-Normal"/>
              <w:spacing w:before="0" w:after="0"/>
              <w:jc w:val="both"/>
              <w:rPr>
                <w:szCs w:val="24"/>
              </w:rPr>
            </w:pPr>
          </w:p>
        </w:tc>
        <w:tc>
          <w:tcPr>
            <w:tcW w:w="2176" w:type="dxa"/>
            <w:tcBorders>
              <w:top w:val="single" w:sz="4" w:space="0" w:color="000000"/>
            </w:tcBorders>
          </w:tcPr>
          <w:p w:rsidR="00CF2E01" w:rsidRDefault="00CF2E01">
            <w:pPr>
              <w:pStyle w:val="LO-Normal"/>
              <w:spacing w:before="0" w:after="0"/>
              <w:jc w:val="both"/>
              <w:rPr>
                <w:szCs w:val="24"/>
              </w:rPr>
            </w:pPr>
          </w:p>
        </w:tc>
      </w:tr>
    </w:tbl>
    <w:p w:rsidR="00CF2E01" w:rsidRDefault="00CF2E01">
      <w:pPr>
        <w:pStyle w:val="LO-Normal"/>
        <w:spacing w:before="0" w:after="0"/>
        <w:ind w:left="-360"/>
        <w:jc w:val="center"/>
        <w:rPr>
          <w:sz w:val="28"/>
          <w:szCs w:val="27"/>
        </w:rPr>
      </w:pPr>
    </w:p>
    <w:p w:rsidR="00CF2E01" w:rsidRDefault="00CF2E01">
      <w:pPr>
        <w:pStyle w:val="LO-Normal"/>
        <w:spacing w:before="0" w:after="0"/>
        <w:ind w:left="-360"/>
        <w:jc w:val="center"/>
        <w:rPr>
          <w:sz w:val="28"/>
          <w:szCs w:val="27"/>
        </w:rPr>
      </w:pPr>
    </w:p>
    <w:p w:rsidR="00AD5E9F" w:rsidRDefault="004352AC">
      <w:pPr>
        <w:jc w:val="center"/>
        <w:rPr>
          <w:b/>
          <w:bCs/>
          <w:sz w:val="28"/>
          <w:szCs w:val="27"/>
        </w:rPr>
      </w:pPr>
      <w:r>
        <w:rPr>
          <w:b/>
          <w:bCs/>
          <w:sz w:val="28"/>
          <w:szCs w:val="27"/>
        </w:rPr>
        <w:t xml:space="preserve">Об организации оказания первичной специализированной </w:t>
      </w:r>
    </w:p>
    <w:p w:rsidR="00AD5E9F" w:rsidRDefault="004352AC">
      <w:pPr>
        <w:jc w:val="center"/>
        <w:rPr>
          <w:b/>
          <w:bCs/>
          <w:sz w:val="28"/>
          <w:szCs w:val="27"/>
        </w:rPr>
      </w:pPr>
      <w:r>
        <w:rPr>
          <w:b/>
          <w:bCs/>
          <w:sz w:val="28"/>
          <w:szCs w:val="27"/>
        </w:rPr>
        <w:t>медико-санитарн</w:t>
      </w:r>
      <w:r w:rsidR="00AD5E9F">
        <w:rPr>
          <w:b/>
          <w:bCs/>
          <w:sz w:val="28"/>
          <w:szCs w:val="27"/>
        </w:rPr>
        <w:t>ой помощи по профилю «урология»</w:t>
      </w:r>
    </w:p>
    <w:p w:rsidR="00CF2E01" w:rsidRDefault="004352AC">
      <w:pPr>
        <w:jc w:val="center"/>
        <w:rPr>
          <w:b/>
          <w:bCs/>
          <w:sz w:val="28"/>
          <w:szCs w:val="28"/>
        </w:rPr>
      </w:pPr>
      <w:r>
        <w:rPr>
          <w:b/>
          <w:bCs/>
          <w:sz w:val="28"/>
          <w:szCs w:val="27"/>
        </w:rPr>
        <w:t>взрослому населению Новосибирской области</w:t>
      </w:r>
    </w:p>
    <w:p w:rsidR="00CF2E01" w:rsidRDefault="00CF2E01">
      <w:pPr>
        <w:jc w:val="center"/>
        <w:rPr>
          <w:bCs/>
          <w:sz w:val="28"/>
          <w:szCs w:val="27"/>
        </w:rPr>
      </w:pPr>
    </w:p>
    <w:p w:rsidR="00CF2E01" w:rsidRDefault="00CF2E01">
      <w:pPr>
        <w:jc w:val="center"/>
        <w:rPr>
          <w:bCs/>
          <w:sz w:val="28"/>
          <w:szCs w:val="27"/>
        </w:rPr>
      </w:pPr>
    </w:p>
    <w:p w:rsidR="00CF2E01" w:rsidRDefault="004352AC">
      <w:pPr>
        <w:pStyle w:val="aff2"/>
        <w:ind w:firstLine="709"/>
        <w:jc w:val="both"/>
        <w:rPr>
          <w:b/>
          <w:bCs/>
          <w:sz w:val="28"/>
          <w:szCs w:val="27"/>
        </w:rPr>
      </w:pPr>
      <w:r>
        <w:rPr>
          <w:sz w:val="28"/>
          <w:szCs w:val="27"/>
        </w:rPr>
        <w:t xml:space="preserve">В соответствии с Федеральным законом от 21.11.2011 № 323-ФЗ «Об основах охраны здоровья граждан в Российской Федерации», приказом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приказами Министерства здравоохранения Российской Федерации от 12.11.2012 № 907н «Об утверждении Порядка оказания медицинской помощи взрослому населению по профилю «урология», от 15.03.2022 № 168н «Об утверждении порядка проведения диспансерного наблюдения за взрослыми», в целях совершенствования организации оказания первичной специализированной медико-санитарной помощи по профилю «урология» взрослому населению Новосибирской области </w:t>
      </w:r>
      <w:r>
        <w:rPr>
          <w:b/>
          <w:bCs/>
          <w:sz w:val="28"/>
          <w:szCs w:val="27"/>
        </w:rPr>
        <w:t>п р и к а з ы в а ю:</w:t>
      </w:r>
    </w:p>
    <w:p w:rsidR="00CF2E01" w:rsidRDefault="004352AC">
      <w:pPr>
        <w:pStyle w:val="aff2"/>
        <w:ind w:firstLine="709"/>
        <w:jc w:val="both"/>
        <w:rPr>
          <w:sz w:val="28"/>
          <w:szCs w:val="27"/>
        </w:rPr>
      </w:pPr>
      <w:r>
        <w:rPr>
          <w:sz w:val="28"/>
          <w:szCs w:val="27"/>
        </w:rPr>
        <w:t>1. Утвердить прилагаемые:</w:t>
      </w:r>
    </w:p>
    <w:p w:rsidR="00CF2E01" w:rsidRDefault="004352AC">
      <w:pPr>
        <w:pStyle w:val="aff2"/>
        <w:ind w:firstLine="709"/>
        <w:jc w:val="both"/>
        <w:rPr>
          <w:sz w:val="28"/>
          <w:szCs w:val="27"/>
        </w:rPr>
      </w:pPr>
      <w:r>
        <w:rPr>
          <w:sz w:val="28"/>
          <w:szCs w:val="27"/>
        </w:rPr>
        <w:t>1) </w:t>
      </w:r>
      <w:r>
        <w:rPr>
          <w:sz w:val="28"/>
          <w:szCs w:val="28"/>
        </w:rPr>
        <w:t>положение об организации оказания первичной специализированной медико-санитарной помощи по профилю «урология» взрослому населению Новосибирской области;</w:t>
      </w:r>
    </w:p>
    <w:p w:rsidR="00CF2E01" w:rsidRDefault="004352AC">
      <w:pPr>
        <w:pStyle w:val="aff2"/>
        <w:ind w:firstLine="709"/>
        <w:jc w:val="both"/>
        <w:rPr>
          <w:sz w:val="28"/>
          <w:szCs w:val="27"/>
        </w:rPr>
      </w:pPr>
      <w:r>
        <w:rPr>
          <w:sz w:val="28"/>
          <w:szCs w:val="27"/>
        </w:rPr>
        <w:t>2) схему маршрутизации пациентов для оказания первичной специализированной медико-санитарной помощи по профилю «урология» взрослому населению Новосибирской области, получающих медицинскую помощь в государственных медицинских организациях, к которым прикреплено менее 20</w:t>
      </w:r>
      <w:r>
        <w:rPr>
          <w:sz w:val="28"/>
          <w:szCs w:val="27"/>
          <w:lang w:val="en-US"/>
        </w:rPr>
        <w:t> </w:t>
      </w:r>
      <w:r>
        <w:rPr>
          <w:sz w:val="28"/>
          <w:szCs w:val="27"/>
        </w:rPr>
        <w:t>000 взрослого населения;</w:t>
      </w:r>
    </w:p>
    <w:p w:rsidR="00CF2E01" w:rsidRDefault="004352AC">
      <w:pPr>
        <w:pStyle w:val="aff2"/>
        <w:ind w:firstLine="709"/>
        <w:jc w:val="both"/>
        <w:rPr>
          <w:sz w:val="28"/>
          <w:szCs w:val="27"/>
        </w:rPr>
      </w:pPr>
      <w:r>
        <w:rPr>
          <w:sz w:val="28"/>
          <w:szCs w:val="27"/>
        </w:rPr>
        <w:t>3) схему маршрутизации пациентов для оказания первичной специализированной медико-санитарной помощи по профилю «урология» взрослому населению Новосибирской области, получающих медицинскую помощь в государственных медицинских организациях, к которым прикреплено 20</w:t>
      </w:r>
      <w:r w:rsidR="005C1FAB">
        <w:rPr>
          <w:sz w:val="28"/>
          <w:szCs w:val="27"/>
        </w:rPr>
        <w:t> </w:t>
      </w:r>
      <w:r>
        <w:rPr>
          <w:sz w:val="28"/>
          <w:szCs w:val="27"/>
        </w:rPr>
        <w:t xml:space="preserve">000 </w:t>
      </w:r>
      <w:r w:rsidR="005C1FAB">
        <w:rPr>
          <w:sz w:val="28"/>
          <w:szCs w:val="27"/>
        </w:rPr>
        <w:t xml:space="preserve">и более </w:t>
      </w:r>
      <w:r>
        <w:rPr>
          <w:sz w:val="28"/>
          <w:szCs w:val="27"/>
        </w:rPr>
        <w:t>взрослого населения;</w:t>
      </w:r>
    </w:p>
    <w:p w:rsidR="00CF2E01" w:rsidRDefault="004352AC">
      <w:pPr>
        <w:pStyle w:val="aff2"/>
        <w:ind w:firstLine="709"/>
        <w:jc w:val="both"/>
        <w:rPr>
          <w:sz w:val="28"/>
          <w:szCs w:val="27"/>
        </w:rPr>
      </w:pPr>
      <w:r>
        <w:rPr>
          <w:sz w:val="28"/>
          <w:szCs w:val="27"/>
        </w:rPr>
        <w:t>4) региональные нормы времени на выполнение работ, связанных с посещением одним пациентом врача-уролога, оказывающего первичную специализированную меди</w:t>
      </w:r>
      <w:r w:rsidR="00C03B2A">
        <w:rPr>
          <w:sz w:val="28"/>
          <w:szCs w:val="27"/>
        </w:rPr>
        <w:t>ко-санитарную</w:t>
      </w:r>
      <w:r>
        <w:rPr>
          <w:sz w:val="28"/>
          <w:szCs w:val="27"/>
        </w:rPr>
        <w:t xml:space="preserve"> помощь по профилю «урология»;</w:t>
      </w:r>
    </w:p>
    <w:p w:rsidR="00CF2E01" w:rsidRDefault="004352AC">
      <w:pPr>
        <w:pStyle w:val="aff2"/>
        <w:ind w:firstLine="709"/>
        <w:jc w:val="both"/>
        <w:rPr>
          <w:sz w:val="28"/>
          <w:szCs w:val="27"/>
        </w:rPr>
      </w:pPr>
      <w:r>
        <w:rPr>
          <w:sz w:val="28"/>
          <w:szCs w:val="27"/>
        </w:rPr>
        <w:lastRenderedPageBreak/>
        <w:t>5) типовое расписание врача-уролога в расчете на одну ставку при пятидневной рабочей неделе.</w:t>
      </w:r>
    </w:p>
    <w:p w:rsidR="00CF2E01" w:rsidRDefault="004352AC">
      <w:pPr>
        <w:pStyle w:val="aff2"/>
        <w:ind w:firstLine="709"/>
        <w:jc w:val="both"/>
        <w:rPr>
          <w:sz w:val="28"/>
          <w:szCs w:val="27"/>
        </w:rPr>
      </w:pPr>
      <w:r>
        <w:rPr>
          <w:sz w:val="28"/>
          <w:szCs w:val="27"/>
        </w:rPr>
        <w:t>2.</w:t>
      </w:r>
      <w:r>
        <w:rPr>
          <w:b/>
          <w:bCs/>
          <w:sz w:val="28"/>
          <w:szCs w:val="27"/>
        </w:rPr>
        <w:t> </w:t>
      </w:r>
      <w:r>
        <w:rPr>
          <w:sz w:val="28"/>
          <w:szCs w:val="27"/>
        </w:rPr>
        <w:t>Главным врачам государственных учреждений Новосибирской области, подведомственных министерству здравоохранения Новосибирской области, оказывающих первичную медико-санитарную помощь, имеющих 20</w:t>
      </w:r>
      <w:r w:rsidR="005C1FAB">
        <w:rPr>
          <w:sz w:val="28"/>
          <w:szCs w:val="27"/>
        </w:rPr>
        <w:t> </w:t>
      </w:r>
      <w:r>
        <w:rPr>
          <w:sz w:val="28"/>
          <w:szCs w:val="27"/>
        </w:rPr>
        <w:t>000 и более прикрепленного взрослого населения:</w:t>
      </w:r>
    </w:p>
    <w:p w:rsidR="00CF2E01" w:rsidRDefault="004352AC">
      <w:pPr>
        <w:pStyle w:val="aff2"/>
        <w:ind w:firstLine="709"/>
        <w:jc w:val="both"/>
        <w:rPr>
          <w:sz w:val="28"/>
          <w:szCs w:val="28"/>
        </w:rPr>
      </w:pPr>
      <w:r>
        <w:rPr>
          <w:sz w:val="28"/>
          <w:szCs w:val="28"/>
        </w:rPr>
        <w:t>1) организовать работу урологических кабинетов из расчета 1 ставка врача-уролога на 20 000 прикрепленного взрослого населения;</w:t>
      </w:r>
    </w:p>
    <w:p w:rsidR="00CF2E01" w:rsidRDefault="004352AC">
      <w:pPr>
        <w:pStyle w:val="aff2"/>
        <w:ind w:firstLine="709"/>
        <w:jc w:val="both"/>
        <w:rPr>
          <w:sz w:val="28"/>
          <w:szCs w:val="28"/>
        </w:rPr>
      </w:pPr>
      <w:r>
        <w:rPr>
          <w:sz w:val="28"/>
          <w:szCs w:val="28"/>
        </w:rPr>
        <w:t>2) направить информацию о принятых мерах для организации работы урологических кабинетов в министерство здравоохранения Новосибирской области в срок до 01.09.2025;</w:t>
      </w:r>
    </w:p>
    <w:p w:rsidR="00CF2E01" w:rsidRDefault="004352AC">
      <w:pPr>
        <w:pStyle w:val="aff2"/>
        <w:ind w:firstLine="709"/>
        <w:jc w:val="both"/>
        <w:rPr>
          <w:sz w:val="28"/>
          <w:szCs w:val="28"/>
        </w:rPr>
      </w:pPr>
      <w:r>
        <w:rPr>
          <w:sz w:val="28"/>
          <w:szCs w:val="28"/>
        </w:rPr>
        <w:t>3) обеспечить работу урологических кабинетов в соответствии с положением об организации оказания первичной специализированной медико-санитарной помощи по профилю «урология» взрослому населению Новосибирской области;</w:t>
      </w:r>
    </w:p>
    <w:p w:rsidR="00CF2E01" w:rsidRDefault="004352AC">
      <w:pPr>
        <w:pStyle w:val="aff2"/>
        <w:ind w:firstLine="709"/>
        <w:jc w:val="both"/>
        <w:rPr>
          <w:sz w:val="28"/>
          <w:szCs w:val="28"/>
        </w:rPr>
      </w:pPr>
      <w:r>
        <w:rPr>
          <w:sz w:val="28"/>
          <w:szCs w:val="28"/>
        </w:rPr>
        <w:t xml:space="preserve">4) обеспечить направление пациентов с заболеваниями по профилю «урология» для получения первичной специализированной медицинской помощи в соответствии со </w:t>
      </w:r>
      <w:r>
        <w:rPr>
          <w:sz w:val="28"/>
          <w:szCs w:val="27"/>
        </w:rPr>
        <w:t xml:space="preserve">схемой маршрутизации пациентов для оказания первичной специализированной медико-санитарной помощи по профилю «урология» взрослому населению Новосибирской области, получающих медицинскую помощь в государственных медицинских организациях, к которым прикреплено </w:t>
      </w:r>
      <w:r w:rsidR="005C1FAB">
        <w:rPr>
          <w:sz w:val="28"/>
          <w:szCs w:val="27"/>
        </w:rPr>
        <w:t xml:space="preserve">20 000 и </w:t>
      </w:r>
      <w:r>
        <w:rPr>
          <w:sz w:val="28"/>
          <w:szCs w:val="27"/>
        </w:rPr>
        <w:t>более взрослого населения;</w:t>
      </w:r>
    </w:p>
    <w:p w:rsidR="00CF2E01" w:rsidRDefault="004352AC">
      <w:pPr>
        <w:pStyle w:val="aff2"/>
        <w:ind w:firstLine="709"/>
        <w:jc w:val="both"/>
        <w:rPr>
          <w:sz w:val="28"/>
          <w:szCs w:val="28"/>
        </w:rPr>
      </w:pPr>
      <w:r>
        <w:rPr>
          <w:sz w:val="28"/>
          <w:szCs w:val="28"/>
        </w:rPr>
        <w:t>5) осуществлять направление</w:t>
      </w:r>
      <w:r>
        <w:rPr>
          <w:color w:val="000000" w:themeColor="text1"/>
          <w:sz w:val="28"/>
          <w:szCs w:val="28"/>
        </w:rPr>
        <w:t xml:space="preserve"> пациентов</w:t>
      </w:r>
      <w:r>
        <w:rPr>
          <w:color w:val="FF0000"/>
          <w:sz w:val="28"/>
          <w:szCs w:val="28"/>
        </w:rPr>
        <w:t xml:space="preserve"> </w:t>
      </w:r>
      <w:r>
        <w:rPr>
          <w:sz w:val="28"/>
          <w:szCs w:val="28"/>
        </w:rPr>
        <w:t xml:space="preserve">для получения специализированной, в том числе высокотехнологичной, медицинской помощи в условиях стационара по профилю «урология» в соответствии с приказом министерства здравоохранения Новосибирской области </w:t>
      </w:r>
      <w:r w:rsidR="005C1FAB">
        <w:rPr>
          <w:sz w:val="28"/>
          <w:szCs w:val="28"/>
        </w:rPr>
        <w:t xml:space="preserve">от 16.05.2023 </w:t>
      </w:r>
      <w:r>
        <w:rPr>
          <w:sz w:val="28"/>
          <w:szCs w:val="28"/>
        </w:rPr>
        <w:t>№</w:t>
      </w:r>
      <w:r w:rsidR="005C1FAB">
        <w:rPr>
          <w:sz w:val="28"/>
          <w:szCs w:val="28"/>
        </w:rPr>
        <w:t> </w:t>
      </w:r>
      <w:r>
        <w:rPr>
          <w:sz w:val="28"/>
          <w:szCs w:val="28"/>
        </w:rPr>
        <w:t xml:space="preserve">1201-НПА «О маршрутизации пациентов старше 18 лет с заболеваниями мочеполовой системы при оказании плановой специализированной медицинской помощи на территории Новосибирской области». </w:t>
      </w:r>
    </w:p>
    <w:p w:rsidR="00CF2E01" w:rsidRDefault="004352AC">
      <w:pPr>
        <w:pStyle w:val="aff2"/>
        <w:ind w:firstLine="709"/>
        <w:jc w:val="both"/>
        <w:rPr>
          <w:sz w:val="28"/>
          <w:szCs w:val="28"/>
        </w:rPr>
      </w:pPr>
      <w:r>
        <w:rPr>
          <w:sz w:val="28"/>
          <w:szCs w:val="28"/>
        </w:rPr>
        <w:t xml:space="preserve">3. Главным врачам государственных </w:t>
      </w:r>
      <w:r>
        <w:rPr>
          <w:sz w:val="28"/>
          <w:szCs w:val="27"/>
        </w:rPr>
        <w:t xml:space="preserve">учреждений Новосибирской области, подведомственных министерству здравоохранения Новосибирской области, </w:t>
      </w:r>
      <w:r>
        <w:rPr>
          <w:sz w:val="28"/>
          <w:szCs w:val="28"/>
        </w:rPr>
        <w:t>оказывающих первичную медико-санитарную помощь, имеющих менее 20 000 прикрепленного взрослого населения:</w:t>
      </w:r>
    </w:p>
    <w:p w:rsidR="00CF2E01" w:rsidRDefault="004352AC">
      <w:pPr>
        <w:pStyle w:val="aff2"/>
        <w:ind w:firstLine="709"/>
        <w:jc w:val="both"/>
        <w:rPr>
          <w:sz w:val="28"/>
          <w:szCs w:val="27"/>
        </w:rPr>
      </w:pPr>
      <w:r>
        <w:rPr>
          <w:sz w:val="28"/>
          <w:szCs w:val="28"/>
        </w:rPr>
        <w:t>1) организовать направление пациентов в урологические кабинеты согласно</w:t>
      </w:r>
      <w:r w:rsidR="005C1FAB">
        <w:rPr>
          <w:sz w:val="28"/>
          <w:szCs w:val="28"/>
        </w:rPr>
        <w:t xml:space="preserve"> </w:t>
      </w:r>
      <w:proofErr w:type="gramStart"/>
      <w:r>
        <w:rPr>
          <w:sz w:val="28"/>
          <w:szCs w:val="28"/>
        </w:rPr>
        <w:t>схеме</w:t>
      </w:r>
      <w:r w:rsidR="005C1FAB">
        <w:rPr>
          <w:sz w:val="28"/>
          <w:szCs w:val="28"/>
        </w:rPr>
        <w:t xml:space="preserve"> </w:t>
      </w:r>
      <w:r>
        <w:rPr>
          <w:sz w:val="28"/>
          <w:szCs w:val="27"/>
        </w:rPr>
        <w:t>маршрутизации</w:t>
      </w:r>
      <w:r w:rsidR="005C1FAB">
        <w:rPr>
          <w:sz w:val="28"/>
          <w:szCs w:val="27"/>
        </w:rPr>
        <w:t xml:space="preserve"> </w:t>
      </w:r>
      <w:r>
        <w:rPr>
          <w:sz w:val="28"/>
          <w:szCs w:val="27"/>
        </w:rPr>
        <w:t>пациентов</w:t>
      </w:r>
      <w:proofErr w:type="gramEnd"/>
      <w:r w:rsidR="005C1FAB">
        <w:rPr>
          <w:sz w:val="28"/>
          <w:szCs w:val="27"/>
        </w:rPr>
        <w:t xml:space="preserve"> </w:t>
      </w:r>
      <w:r>
        <w:rPr>
          <w:sz w:val="28"/>
          <w:szCs w:val="27"/>
        </w:rPr>
        <w:t>для оказания первичной специализированной медико-санитарной помощи по профилю «урология» взрослому населению Новосибирской области, получающих медицинскую помощь в государственных медицинских организациях, к которым прикреплено менее 20</w:t>
      </w:r>
      <w:r>
        <w:rPr>
          <w:sz w:val="28"/>
          <w:szCs w:val="27"/>
          <w:lang w:val="en-US"/>
        </w:rPr>
        <w:t> </w:t>
      </w:r>
      <w:r>
        <w:rPr>
          <w:sz w:val="28"/>
          <w:szCs w:val="27"/>
        </w:rPr>
        <w:t>000 взрослого населения;</w:t>
      </w:r>
    </w:p>
    <w:p w:rsidR="007F4558" w:rsidRDefault="004352AC">
      <w:pPr>
        <w:pStyle w:val="aff2"/>
        <w:ind w:firstLine="709"/>
        <w:jc w:val="both"/>
        <w:rPr>
          <w:sz w:val="28"/>
          <w:szCs w:val="28"/>
        </w:rPr>
      </w:pPr>
      <w:r>
        <w:rPr>
          <w:sz w:val="28"/>
          <w:szCs w:val="28"/>
        </w:rPr>
        <w:t>2) </w:t>
      </w:r>
      <w:r w:rsidR="007F4558">
        <w:rPr>
          <w:sz w:val="28"/>
          <w:szCs w:val="28"/>
        </w:rPr>
        <w:t xml:space="preserve">осуществлять направление пациентов для получения специализированной, в том числе высокотехнологичной, медицинской помощи в условиях стационара по профилю «урология» в соответствии с приказом министерства здравоохранения Новосибирской области от 16.05.2023 № 1201-НПА «О маршрутизации пациентов старше 18 лет с заболеваниями мочеполовой системы при оказании плановой </w:t>
      </w:r>
      <w:r w:rsidR="007F4558">
        <w:rPr>
          <w:sz w:val="28"/>
          <w:szCs w:val="28"/>
        </w:rPr>
        <w:lastRenderedPageBreak/>
        <w:t>специализированной медицинской помощи на территории Новосибирской области»;</w:t>
      </w:r>
    </w:p>
    <w:p w:rsidR="00CF2E01" w:rsidRDefault="007F4558">
      <w:pPr>
        <w:pStyle w:val="aff2"/>
        <w:ind w:firstLine="709"/>
        <w:jc w:val="both"/>
        <w:rPr>
          <w:sz w:val="28"/>
          <w:szCs w:val="28"/>
        </w:rPr>
      </w:pPr>
      <w:r>
        <w:rPr>
          <w:sz w:val="28"/>
          <w:szCs w:val="28"/>
        </w:rPr>
        <w:t>3) </w:t>
      </w:r>
      <w:r w:rsidR="005C1FAB">
        <w:rPr>
          <w:sz w:val="28"/>
          <w:szCs w:val="28"/>
        </w:rPr>
        <w:t xml:space="preserve">организовать оказание первичной специализированной медико-санитарной помощи по профилю «урология» в соответствии с положением об организации оказания первичной специализированной медико-санитарной помощи по профилю «урология» взрослому </w:t>
      </w:r>
      <w:r>
        <w:rPr>
          <w:sz w:val="28"/>
          <w:szCs w:val="28"/>
        </w:rPr>
        <w:t>населению Новосибирской области.</w:t>
      </w:r>
    </w:p>
    <w:p w:rsidR="00CF2E01" w:rsidRDefault="004352AC">
      <w:pPr>
        <w:pStyle w:val="aff2"/>
        <w:ind w:firstLine="709"/>
        <w:jc w:val="both"/>
        <w:rPr>
          <w:sz w:val="28"/>
          <w:szCs w:val="27"/>
        </w:rPr>
      </w:pPr>
      <w:r>
        <w:rPr>
          <w:sz w:val="28"/>
          <w:szCs w:val="28"/>
        </w:rPr>
        <w:t xml:space="preserve">4. Главным врачам государственного бюджетного учреждения здравоохранения Новосибирской области «Городская клиническая больница № 1», государственного бюджетного учреждения здравоохранения Новосибирской области «Карасукская центральная районная больница», государственного бюджетного учреждения здравоохранения Новосибирской области «Куйбышевская центральная районная больница», государственного бюджетного учреждения здравоохранения Новосибирской области «Ордынская центральная районная больница», государственного бюджетного учреждения здравоохранения Новосибирской области «Новосибирская районная больница № 2», государственного бюджетного учреждения здравоохранения Новосибирской области «Татарская центральная районная больница имени 70-летия Новосибирской области», государственного бюджетного учреждения здравоохранения Новосибирской области «Черепановская центральная районная больница», государственного бюджетного учреждения здравоохранения Новосибирской области «Искитимская центральная районная больница» обеспечить прием пациентов в урологических кабинетах в соответствии со </w:t>
      </w:r>
      <w:r>
        <w:rPr>
          <w:sz w:val="28"/>
          <w:szCs w:val="27"/>
        </w:rPr>
        <w:t>схемой маршрутизации пациентов для оказания первичной специализированной медико-санитарной помощи по профилю «урология» взрослому населению Новосибирской области, получающих медицинскую помощь в государственных медицинских организациях, к которым прикреплено менее 20</w:t>
      </w:r>
      <w:r>
        <w:rPr>
          <w:sz w:val="28"/>
          <w:szCs w:val="27"/>
          <w:lang w:val="en-US"/>
        </w:rPr>
        <w:t> </w:t>
      </w:r>
      <w:r>
        <w:rPr>
          <w:sz w:val="28"/>
          <w:szCs w:val="27"/>
        </w:rPr>
        <w:t>000 взрослого населения.</w:t>
      </w:r>
    </w:p>
    <w:p w:rsidR="00CF2E01" w:rsidRDefault="004352AC">
      <w:pPr>
        <w:pStyle w:val="aff2"/>
        <w:ind w:firstLine="709"/>
        <w:jc w:val="both"/>
        <w:rPr>
          <w:sz w:val="28"/>
          <w:szCs w:val="28"/>
        </w:rPr>
      </w:pPr>
      <w:r>
        <w:rPr>
          <w:sz w:val="28"/>
          <w:szCs w:val="28"/>
        </w:rPr>
        <w:t>5. Главному врачу государственного бюджетного учреждения здравоохранения Новосибирской области «Государственная Новосибирская областная клиническая больница»:</w:t>
      </w:r>
    </w:p>
    <w:p w:rsidR="00CF2E01" w:rsidRDefault="004352AC">
      <w:pPr>
        <w:pStyle w:val="aff2"/>
        <w:ind w:firstLine="709"/>
        <w:jc w:val="both"/>
        <w:rPr>
          <w:sz w:val="28"/>
          <w:szCs w:val="27"/>
        </w:rPr>
      </w:pPr>
      <w:r>
        <w:rPr>
          <w:sz w:val="28"/>
          <w:szCs w:val="28"/>
        </w:rPr>
        <w:t xml:space="preserve">1) обеспечить прием пациентов в урологических кабинетах в соответствии со </w:t>
      </w:r>
      <w:r>
        <w:rPr>
          <w:sz w:val="28"/>
          <w:szCs w:val="27"/>
        </w:rPr>
        <w:t>схемой маршрутизации пациентов для оказания первичной специализированной медико-санитарной помощи по профилю «урология» взрослому населению Новосибирской области, получающих медицинскую помощь в государственных медицинских организациях, к которым прикреплено менее 20</w:t>
      </w:r>
      <w:r>
        <w:rPr>
          <w:sz w:val="28"/>
          <w:szCs w:val="27"/>
          <w:lang w:val="en-US"/>
        </w:rPr>
        <w:t> </w:t>
      </w:r>
      <w:r>
        <w:rPr>
          <w:sz w:val="28"/>
          <w:szCs w:val="27"/>
        </w:rPr>
        <w:t>000 взрослого населения;</w:t>
      </w:r>
    </w:p>
    <w:p w:rsidR="00CF2E01" w:rsidRDefault="004352AC">
      <w:pPr>
        <w:pStyle w:val="aff2"/>
        <w:ind w:firstLine="709"/>
        <w:jc w:val="both"/>
        <w:rPr>
          <w:sz w:val="28"/>
          <w:szCs w:val="28"/>
        </w:rPr>
      </w:pPr>
      <w:r>
        <w:rPr>
          <w:sz w:val="28"/>
          <w:szCs w:val="28"/>
        </w:rPr>
        <w:t>2) организовать проведение консультаций с применением телемедицинских технологий по запросам государственных медицинских организаций Новосибирской области, оказывающих первичную медико-санитарную помощь взрослому населению, в соответствии с положением об организации оказания первичной специализированной медико-санитарной помощи по профилю «урология» взрослому населению Новосибирской области.</w:t>
      </w:r>
    </w:p>
    <w:p w:rsidR="00CF2E01" w:rsidRDefault="004352AC">
      <w:pPr>
        <w:pStyle w:val="aff2"/>
        <w:ind w:firstLine="709"/>
        <w:jc w:val="both"/>
        <w:rPr>
          <w:sz w:val="28"/>
          <w:szCs w:val="28"/>
        </w:rPr>
      </w:pPr>
      <w:r>
        <w:rPr>
          <w:sz w:val="28"/>
          <w:szCs w:val="27"/>
        </w:rPr>
        <w:t>6. Директору государственного бюджетного учреждения здравоохранения Новосибирской области особого типа «Медицинский информационно-аналитический центр»:</w:t>
      </w:r>
    </w:p>
    <w:p w:rsidR="00CF2E01" w:rsidRDefault="004352AC">
      <w:pPr>
        <w:pStyle w:val="aff2"/>
        <w:ind w:firstLine="709"/>
        <w:jc w:val="both"/>
        <w:rPr>
          <w:sz w:val="28"/>
          <w:szCs w:val="27"/>
        </w:rPr>
      </w:pPr>
      <w:r>
        <w:rPr>
          <w:sz w:val="28"/>
          <w:szCs w:val="27"/>
        </w:rPr>
        <w:lastRenderedPageBreak/>
        <w:t xml:space="preserve">1) осуществить настройку модуля Медицинской информационной системы Новосибирской области </w:t>
      </w:r>
      <w:r w:rsidR="00CC3A14">
        <w:rPr>
          <w:sz w:val="28"/>
          <w:szCs w:val="27"/>
        </w:rPr>
        <w:t>Единой государственной информационной системы здравоохранения Новосибирской области</w:t>
      </w:r>
      <w:r w:rsidR="00CC3A14">
        <w:rPr>
          <w:sz w:val="28"/>
          <w:szCs w:val="28"/>
        </w:rPr>
        <w:t xml:space="preserve"> </w:t>
      </w:r>
      <w:r>
        <w:rPr>
          <w:sz w:val="28"/>
          <w:szCs w:val="27"/>
        </w:rPr>
        <w:t xml:space="preserve">для обеспечения организации работы урологических кабинетов в соответствии с </w:t>
      </w:r>
      <w:r>
        <w:rPr>
          <w:sz w:val="28"/>
          <w:szCs w:val="28"/>
        </w:rPr>
        <w:t>положением об организации оказания первичной специализированной медико-санитарной помощи по профилю «урология» взрослому населению Новосибирской области в срок до 01.06.2025</w:t>
      </w:r>
      <w:r>
        <w:rPr>
          <w:sz w:val="28"/>
          <w:szCs w:val="27"/>
        </w:rPr>
        <w:t>;</w:t>
      </w:r>
    </w:p>
    <w:p w:rsidR="00CF2E01" w:rsidRDefault="004352AC">
      <w:pPr>
        <w:pStyle w:val="aff2"/>
        <w:ind w:firstLine="709"/>
        <w:jc w:val="both"/>
        <w:rPr>
          <w:sz w:val="28"/>
          <w:szCs w:val="27"/>
        </w:rPr>
      </w:pPr>
      <w:r>
        <w:rPr>
          <w:sz w:val="28"/>
          <w:szCs w:val="27"/>
        </w:rPr>
        <w:t>2) разработать информационно-аналитическую панель для ежедневного мониторинга доступности (</w:t>
      </w:r>
      <w:proofErr w:type="spellStart"/>
      <w:r>
        <w:rPr>
          <w:sz w:val="28"/>
          <w:szCs w:val="27"/>
        </w:rPr>
        <w:t>дашборд</w:t>
      </w:r>
      <w:proofErr w:type="spellEnd"/>
      <w:r>
        <w:rPr>
          <w:sz w:val="28"/>
          <w:szCs w:val="27"/>
        </w:rPr>
        <w:t>) записи на прием к врачу-урологу.</w:t>
      </w:r>
    </w:p>
    <w:p w:rsidR="00CF2E01" w:rsidRDefault="004352AC">
      <w:pPr>
        <w:pStyle w:val="aff2"/>
        <w:ind w:firstLine="709"/>
        <w:jc w:val="both"/>
        <w:rPr>
          <w:sz w:val="28"/>
          <w:szCs w:val="28"/>
        </w:rPr>
      </w:pPr>
      <w:r>
        <w:rPr>
          <w:sz w:val="28"/>
          <w:szCs w:val="27"/>
        </w:rPr>
        <w:t xml:space="preserve">7. Контроль за исполнением настоящего приказа в части организации оказания первичной медико-санитарной помощи взрослому населению возложить на заместителя министра здравоохранения Новосибирской области Аксенову Е.А., в части обеспечения автомобильным транспортом, осуществления настроек МИС НСО – </w:t>
      </w:r>
      <w:r w:rsidR="007F4558">
        <w:rPr>
          <w:sz w:val="28"/>
          <w:szCs w:val="27"/>
        </w:rPr>
        <w:t xml:space="preserve">на </w:t>
      </w:r>
      <w:r>
        <w:rPr>
          <w:sz w:val="28"/>
          <w:szCs w:val="27"/>
        </w:rPr>
        <w:t>заместителя министра здравоохранения Новосибирской области Колупаева А.В.</w:t>
      </w:r>
    </w:p>
    <w:p w:rsidR="00CF2E01" w:rsidRDefault="00CF2E01">
      <w:pPr>
        <w:ind w:left="-680"/>
        <w:jc w:val="both"/>
        <w:rPr>
          <w:sz w:val="28"/>
          <w:szCs w:val="27"/>
        </w:rPr>
      </w:pPr>
    </w:p>
    <w:p w:rsidR="00CF2E01" w:rsidRDefault="00CF2E01">
      <w:pPr>
        <w:ind w:left="-680"/>
        <w:jc w:val="both"/>
        <w:rPr>
          <w:sz w:val="28"/>
          <w:szCs w:val="27"/>
        </w:rPr>
      </w:pPr>
    </w:p>
    <w:p w:rsidR="00CF2E01" w:rsidRDefault="00CF2E01">
      <w:pPr>
        <w:ind w:left="-680"/>
        <w:jc w:val="both"/>
        <w:rPr>
          <w:sz w:val="28"/>
          <w:szCs w:val="27"/>
        </w:rPr>
      </w:pPr>
    </w:p>
    <w:p w:rsidR="00CF2E01" w:rsidRDefault="004352AC">
      <w:pPr>
        <w:ind w:left="-709" w:firstLine="709"/>
        <w:contextualSpacing/>
        <w:jc w:val="both"/>
        <w:rPr>
          <w:sz w:val="28"/>
          <w:szCs w:val="27"/>
        </w:rPr>
      </w:pPr>
      <w:r>
        <w:rPr>
          <w:sz w:val="28"/>
          <w:szCs w:val="27"/>
        </w:rPr>
        <w:t>Министр                                                                                                   Р.М. Заблоцкий</w:t>
      </w: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bookmarkStart w:id="0" w:name="_GoBack"/>
      <w:bookmarkEnd w:id="0"/>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CF2E01">
      <w:pPr>
        <w:rPr>
          <w:sz w:val="20"/>
          <w:szCs w:val="22"/>
        </w:rPr>
      </w:pPr>
    </w:p>
    <w:p w:rsidR="00CF2E01" w:rsidRDefault="004352AC">
      <w:pPr>
        <w:rPr>
          <w:sz w:val="20"/>
          <w:szCs w:val="20"/>
        </w:rPr>
      </w:pPr>
      <w:r>
        <w:rPr>
          <w:sz w:val="20"/>
          <w:szCs w:val="22"/>
        </w:rPr>
        <w:t>Е.А. Аксенова</w:t>
      </w:r>
    </w:p>
    <w:p w:rsidR="00CF2E01" w:rsidRDefault="004352AC">
      <w:pPr>
        <w:rPr>
          <w:sz w:val="20"/>
          <w:szCs w:val="20"/>
        </w:rPr>
      </w:pPr>
      <w:r>
        <w:rPr>
          <w:sz w:val="20"/>
          <w:szCs w:val="22"/>
        </w:rPr>
        <w:t>238 63 69</w:t>
      </w:r>
    </w:p>
    <w:sectPr w:rsidR="00CF2E01">
      <w:headerReference w:type="default" r:id="rId11"/>
      <w:pgSz w:w="11906" w:h="16838"/>
      <w:pgMar w:top="1134" w:right="566"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BD5" w:rsidRDefault="00642BD5">
      <w:pPr>
        <w:pStyle w:val="1a"/>
        <w:spacing w:after="0" w:line="240" w:lineRule="auto"/>
      </w:pPr>
      <w:r>
        <w:separator/>
      </w:r>
    </w:p>
  </w:endnote>
  <w:endnote w:type="continuationSeparator" w:id="0">
    <w:p w:rsidR="00642BD5" w:rsidRDefault="00642BD5">
      <w:pPr>
        <w:pStyle w:val="1a"/>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Droid Sans Devanagari">
    <w:charset w:val="00"/>
    <w:family w:val="auto"/>
    <w:pitch w:val="default"/>
  </w:font>
  <w:font w:name="Andale Sans UI">
    <w:charset w:val="00"/>
    <w:family w:val="auto"/>
    <w:pitch w:val="default"/>
  </w:font>
  <w:font w:name="Liberation Serif">
    <w:charset w:val="00"/>
    <w:family w:val="auto"/>
    <w:pitch w:val="default"/>
  </w:font>
  <w:font w:name="Droid Sans Fallback">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BD5" w:rsidRDefault="00642BD5">
      <w:pPr>
        <w:pStyle w:val="1a"/>
        <w:spacing w:after="0" w:line="240" w:lineRule="auto"/>
      </w:pPr>
      <w:r>
        <w:separator/>
      </w:r>
    </w:p>
  </w:footnote>
  <w:footnote w:type="continuationSeparator" w:id="0">
    <w:p w:rsidR="00642BD5" w:rsidRDefault="00642BD5">
      <w:pPr>
        <w:pStyle w:val="1a"/>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01" w:rsidRDefault="004352AC">
    <w:pPr>
      <w:pStyle w:val="ab"/>
      <w:jc w:val="center"/>
    </w:pPr>
    <w:r>
      <w:fldChar w:fldCharType="begin"/>
    </w:r>
    <w:r>
      <w:instrText>PAGE   \* MERGEFORMAT</w:instrText>
    </w:r>
    <w:r>
      <w:fldChar w:fldCharType="separate"/>
    </w:r>
    <w:r w:rsidR="0063129E">
      <w:rPr>
        <w:noProof/>
      </w:rPr>
      <w:t>3</w:t>
    </w:r>
    <w:r>
      <w:fldChar w:fldCharType="end"/>
    </w:r>
  </w:p>
  <w:p w:rsidR="00CF2E01" w:rsidRDefault="00CF2E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5E50"/>
    <w:multiLevelType w:val="hybridMultilevel"/>
    <w:tmpl w:val="FF9A6274"/>
    <w:lvl w:ilvl="0" w:tplc="59544626">
      <w:start w:val="1"/>
      <w:numFmt w:val="decimal"/>
      <w:pStyle w:val="1"/>
      <w:suff w:val="nothing"/>
      <w:lvlText w:val=""/>
      <w:lvlJc w:val="left"/>
      <w:pPr>
        <w:tabs>
          <w:tab w:val="num" w:pos="0"/>
        </w:tabs>
        <w:ind w:left="0" w:firstLine="0"/>
      </w:pPr>
    </w:lvl>
    <w:lvl w:ilvl="1" w:tplc="AD16A98A">
      <w:start w:val="1"/>
      <w:numFmt w:val="decimal"/>
      <w:pStyle w:val="2"/>
      <w:suff w:val="nothing"/>
      <w:lvlText w:val=""/>
      <w:lvlJc w:val="left"/>
      <w:pPr>
        <w:tabs>
          <w:tab w:val="num" w:pos="0"/>
        </w:tabs>
        <w:ind w:left="0" w:firstLine="0"/>
      </w:pPr>
    </w:lvl>
    <w:lvl w:ilvl="2" w:tplc="80325D1C">
      <w:start w:val="1"/>
      <w:numFmt w:val="decimal"/>
      <w:pStyle w:val="3"/>
      <w:suff w:val="nothing"/>
      <w:lvlText w:val=""/>
      <w:lvlJc w:val="left"/>
      <w:pPr>
        <w:tabs>
          <w:tab w:val="num" w:pos="0"/>
        </w:tabs>
        <w:ind w:left="0" w:firstLine="0"/>
      </w:pPr>
    </w:lvl>
    <w:lvl w:ilvl="3" w:tplc="964C87D8">
      <w:start w:val="1"/>
      <w:numFmt w:val="decimal"/>
      <w:suff w:val="nothing"/>
      <w:lvlText w:val=""/>
      <w:lvlJc w:val="left"/>
      <w:pPr>
        <w:tabs>
          <w:tab w:val="num" w:pos="0"/>
        </w:tabs>
        <w:ind w:left="0" w:firstLine="0"/>
      </w:pPr>
    </w:lvl>
    <w:lvl w:ilvl="4" w:tplc="EBE41142">
      <w:start w:val="1"/>
      <w:numFmt w:val="decimal"/>
      <w:suff w:val="nothing"/>
      <w:lvlText w:val=""/>
      <w:lvlJc w:val="left"/>
      <w:pPr>
        <w:tabs>
          <w:tab w:val="num" w:pos="0"/>
        </w:tabs>
        <w:ind w:left="0" w:firstLine="0"/>
      </w:pPr>
    </w:lvl>
    <w:lvl w:ilvl="5" w:tplc="967A634C">
      <w:start w:val="1"/>
      <w:numFmt w:val="decimal"/>
      <w:suff w:val="nothing"/>
      <w:lvlText w:val=""/>
      <w:lvlJc w:val="left"/>
      <w:pPr>
        <w:tabs>
          <w:tab w:val="num" w:pos="0"/>
        </w:tabs>
        <w:ind w:left="0" w:firstLine="0"/>
      </w:pPr>
    </w:lvl>
    <w:lvl w:ilvl="6" w:tplc="DE0C2292">
      <w:start w:val="1"/>
      <w:numFmt w:val="decimal"/>
      <w:suff w:val="nothing"/>
      <w:lvlText w:val=""/>
      <w:lvlJc w:val="left"/>
      <w:pPr>
        <w:tabs>
          <w:tab w:val="num" w:pos="0"/>
        </w:tabs>
        <w:ind w:left="0" w:firstLine="0"/>
      </w:pPr>
    </w:lvl>
    <w:lvl w:ilvl="7" w:tplc="BCF45D96">
      <w:start w:val="1"/>
      <w:numFmt w:val="decimal"/>
      <w:suff w:val="nothing"/>
      <w:lvlText w:val=""/>
      <w:lvlJc w:val="left"/>
      <w:pPr>
        <w:tabs>
          <w:tab w:val="num" w:pos="0"/>
        </w:tabs>
        <w:ind w:left="0" w:firstLine="0"/>
      </w:pPr>
    </w:lvl>
    <w:lvl w:ilvl="8" w:tplc="9606EBD6">
      <w:start w:val="1"/>
      <w:numFmt w:val="decimal"/>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01"/>
    <w:rsid w:val="000C2DAD"/>
    <w:rsid w:val="004352AC"/>
    <w:rsid w:val="005C1FAB"/>
    <w:rsid w:val="0063129E"/>
    <w:rsid w:val="00642BD5"/>
    <w:rsid w:val="007F4558"/>
    <w:rsid w:val="00AD5E9F"/>
    <w:rsid w:val="00C03B2A"/>
    <w:rsid w:val="00CC3A14"/>
    <w:rsid w:val="00CF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010B1"/>
  <w15:docId w15:val="{EF834320-B988-4948-B0EB-02BF55F1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0"/>
    <w:link w:val="11"/>
    <w:qFormat/>
    <w:pPr>
      <w:widowControl w:val="0"/>
      <w:numPr>
        <w:numId w:val="1"/>
      </w:numPr>
      <w:ind w:left="85" w:right="70"/>
      <w:jc w:val="center"/>
      <w:outlineLvl w:val="0"/>
    </w:pPr>
    <w:rPr>
      <w:b/>
      <w:bCs/>
      <w:sz w:val="28"/>
      <w:szCs w:val="28"/>
      <w:lang w:bidi="ru-RU"/>
    </w:rPr>
  </w:style>
  <w:style w:type="paragraph" w:styleId="2">
    <w:name w:val="heading 2"/>
    <w:basedOn w:val="a"/>
    <w:next w:val="a"/>
    <w:link w:val="20"/>
    <w:qFormat/>
    <w:pPr>
      <w:keepNext/>
      <w:numPr>
        <w:ilvl w:val="1"/>
        <w:numId w:val="1"/>
      </w:numPr>
      <w:jc w:val="right"/>
      <w:outlineLvl w:val="1"/>
    </w:pPr>
    <w:rPr>
      <w:sz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4">
    <w:name w:val="List Paragraph"/>
    <w:basedOn w:val="a"/>
    <w:qFormat/>
    <w:pPr>
      <w:spacing w:after="160" w:line="252" w:lineRule="auto"/>
      <w:ind w:left="720"/>
      <w:contextualSpacing/>
    </w:pPr>
    <w:rPr>
      <w:rFonts w:ascii="Calibri" w:eastAsia="Calibri" w:hAnsi="Calibri"/>
      <w:sz w:val="22"/>
      <w:szCs w:val="22"/>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qFormat/>
    <w:pPr>
      <w:ind w:right="27"/>
      <w:jc w:val="center"/>
    </w:pPr>
    <w:rPr>
      <w:b/>
      <w:sz w:val="28"/>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basedOn w:val="a1"/>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basedOn w:val="a1"/>
    <w:uiPriority w:val="99"/>
  </w:style>
  <w:style w:type="paragraph" w:styleId="af">
    <w:name w:val="caption"/>
    <w:basedOn w:val="a"/>
    <w:qFormat/>
    <w:pPr>
      <w:suppressLineNumbers/>
      <w:spacing w:before="120" w:after="120"/>
    </w:pPr>
    <w:rPr>
      <w:rFonts w:cs="Arial Unicode MS"/>
      <w:i/>
      <w:iCs/>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0">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5">
    <w:name w:val="Основной шрифт абзаца2"/>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13">
    <w:name w:val="Основной шрифт абзаца1"/>
  </w:style>
  <w:style w:type="character" w:customStyle="1" w:styleId="afa">
    <w:name w:val="Название Знак"/>
    <w:rPr>
      <w:b/>
      <w:sz w:val="28"/>
      <w:szCs w:val="24"/>
      <w:lang w:val="ru-RU" w:bidi="ar-SA"/>
    </w:rPr>
  </w:style>
  <w:style w:type="character" w:customStyle="1" w:styleId="FontStyle19">
    <w:name w:val="Font Style19"/>
    <w:rPr>
      <w:rFonts w:ascii="Times New Roman" w:hAnsi="Times New Roman" w:cs="Times New Roman"/>
      <w:sz w:val="18"/>
      <w:szCs w:val="18"/>
    </w:rPr>
  </w:style>
  <w:style w:type="character" w:styleId="afb">
    <w:name w:val="Emphasis"/>
    <w:qFormat/>
    <w:rPr>
      <w:i/>
      <w:iCs/>
    </w:rPr>
  </w:style>
  <w:style w:type="character" w:customStyle="1" w:styleId="apple-converted-space">
    <w:name w:val="apple-converted-space"/>
  </w:style>
  <w:style w:type="character" w:customStyle="1" w:styleId="FontStyle18">
    <w:name w:val="Font Style18"/>
    <w:rPr>
      <w:rFonts w:ascii="Times New Roman" w:hAnsi="Times New Roman" w:cs="Times New Roman"/>
      <w:sz w:val="22"/>
      <w:szCs w:val="22"/>
    </w:rPr>
  </w:style>
  <w:style w:type="character" w:customStyle="1" w:styleId="14">
    <w:name w:val="Заголовок 1 Знак"/>
    <w:rPr>
      <w:b/>
      <w:bCs/>
      <w:sz w:val="28"/>
      <w:szCs w:val="28"/>
      <w:lang w:bidi="ru-RU"/>
    </w:rPr>
  </w:style>
  <w:style w:type="character" w:customStyle="1" w:styleId="afc">
    <w:name w:val="Основной текст Знак"/>
    <w:rPr>
      <w:sz w:val="24"/>
      <w:szCs w:val="24"/>
    </w:rPr>
  </w:style>
  <w:style w:type="character" w:customStyle="1" w:styleId="extended-textshort">
    <w:name w:val="extended-text__short"/>
    <w:basedOn w:val="13"/>
  </w:style>
  <w:style w:type="character" w:customStyle="1" w:styleId="postbody1">
    <w:name w:val="postbody1"/>
    <w:rPr>
      <w:sz w:val="18"/>
      <w:szCs w:val="18"/>
    </w:rPr>
  </w:style>
  <w:style w:type="character" w:styleId="afd">
    <w:name w:val="Strong"/>
    <w:qFormat/>
    <w:rPr>
      <w:b/>
      <w:bCs/>
    </w:rPr>
  </w:style>
  <w:style w:type="character" w:customStyle="1" w:styleId="26">
    <w:name w:val="Основной текст с отступом 2 Знак"/>
    <w:rPr>
      <w:rFonts w:ascii="Calibri" w:eastAsia="Calibri" w:hAnsi="Calibri" w:cs="Times New Roman"/>
      <w:sz w:val="22"/>
      <w:szCs w:val="22"/>
    </w:rPr>
  </w:style>
  <w:style w:type="character" w:customStyle="1" w:styleId="afe">
    <w:name w:val="Текст выноски Знак"/>
    <w:rPr>
      <w:rFonts w:ascii="Tahoma" w:hAnsi="Tahoma" w:cs="Tahoma"/>
      <w:sz w:val="16"/>
      <w:szCs w:val="16"/>
    </w:rPr>
  </w:style>
  <w:style w:type="character" w:customStyle="1" w:styleId="layout">
    <w:name w:val="layout"/>
    <w:basedOn w:val="13"/>
  </w:style>
  <w:style w:type="paragraph" w:customStyle="1" w:styleId="27">
    <w:name w:val="Заголовок2"/>
    <w:basedOn w:val="a"/>
    <w:next w:val="a0"/>
    <w:pPr>
      <w:keepNext/>
      <w:spacing w:before="240" w:after="120"/>
    </w:pPr>
    <w:rPr>
      <w:rFonts w:ascii="Liberation Sans" w:eastAsia="Microsoft YaHei" w:hAnsi="Liberation Sans" w:cs="Arial Unicode MS"/>
      <w:sz w:val="28"/>
      <w:szCs w:val="28"/>
    </w:rPr>
  </w:style>
  <w:style w:type="paragraph" w:styleId="a0">
    <w:name w:val="Body Text"/>
    <w:basedOn w:val="a"/>
    <w:pPr>
      <w:spacing w:after="120"/>
    </w:pPr>
  </w:style>
  <w:style w:type="paragraph" w:styleId="aff">
    <w:name w:val="List"/>
    <w:basedOn w:val="a0"/>
    <w:rPr>
      <w:rFonts w:cs="Droid Sans Devanagari"/>
    </w:rPr>
  </w:style>
  <w:style w:type="paragraph" w:customStyle="1" w:styleId="28">
    <w:name w:val="Указатель2"/>
    <w:basedOn w:val="a"/>
    <w:pPr>
      <w:suppressLineNumbers/>
    </w:pPr>
    <w:rPr>
      <w:rFonts w:cs="Arial Unicode MS"/>
      <w:lang w:val="en-US" w:eastAsia="en-US" w:bidi="en-US"/>
    </w:rPr>
  </w:style>
  <w:style w:type="paragraph" w:customStyle="1" w:styleId="15">
    <w:name w:val="Заголовок1"/>
    <w:basedOn w:val="a"/>
    <w:next w:val="a0"/>
    <w:pPr>
      <w:ind w:right="27"/>
      <w:jc w:val="center"/>
    </w:pPr>
    <w:rPr>
      <w:b/>
      <w:sz w:val="28"/>
    </w:rPr>
  </w:style>
  <w:style w:type="paragraph" w:customStyle="1" w:styleId="16">
    <w:name w:val="Название объекта1"/>
    <w:basedOn w:val="a"/>
    <w:pPr>
      <w:suppressLineNumbers/>
      <w:spacing w:before="120" w:after="120"/>
    </w:pPr>
    <w:rPr>
      <w:rFonts w:cs="Droid Sans Devanagari"/>
      <w:i/>
      <w:iCs/>
    </w:rPr>
  </w:style>
  <w:style w:type="paragraph" w:customStyle="1" w:styleId="17">
    <w:name w:val="Указатель1"/>
    <w:basedOn w:val="a"/>
    <w:pPr>
      <w:suppressLineNumbers/>
    </w:pPr>
    <w:rPr>
      <w:rFonts w:cs="Droid Sans Devanagari"/>
    </w:rPr>
  </w:style>
  <w:style w:type="paragraph" w:customStyle="1" w:styleId="aff0">
    <w:name w:val="Колонтитул"/>
    <w:basedOn w:val="18"/>
    <w:pPr>
      <w:jc w:val="right"/>
    </w:pPr>
    <w:rPr>
      <w:rFonts w:ascii="Times New Roman" w:eastAsia="Times New Roman" w:hAnsi="Times New Roman" w:cs="Times New Roman"/>
    </w:rPr>
  </w:style>
  <w:style w:type="paragraph" w:customStyle="1" w:styleId="aff1">
    <w:name w:val="Знак"/>
    <w:basedOn w:val="a"/>
    <w:pPr>
      <w:widowControl w:val="0"/>
      <w:spacing w:before="280" w:after="280" w:line="360" w:lineRule="atLeast"/>
      <w:jc w:val="both"/>
    </w:pPr>
    <w:rPr>
      <w:rFonts w:ascii="Tahoma" w:hAnsi="Tahoma" w:cs="Tahoma"/>
      <w:sz w:val="20"/>
      <w:szCs w:val="20"/>
      <w:lang w:val="en-US"/>
    </w:rPr>
  </w:style>
  <w:style w:type="paragraph" w:customStyle="1" w:styleId="LO-Normal">
    <w:name w:val="LO-Normal"/>
    <w:pPr>
      <w:spacing w:before="100" w:after="100"/>
    </w:pPr>
    <w:rPr>
      <w:sz w:val="24"/>
      <w:lang w:eastAsia="zh-CN"/>
    </w:rPr>
  </w:style>
  <w:style w:type="paragraph" w:styleId="aff2">
    <w:name w:val="No Spacing"/>
    <w:qFormat/>
    <w:rPr>
      <w:sz w:val="24"/>
      <w:szCs w:val="24"/>
      <w:lang w:eastAsia="zh-CN"/>
    </w:rPr>
  </w:style>
  <w:style w:type="paragraph" w:styleId="aff3">
    <w:name w:val="Balloon Text"/>
    <w:basedOn w:val="a"/>
    <w:rPr>
      <w:rFonts w:ascii="Tahoma" w:hAnsi="Tahoma" w:cs="Tahoma"/>
      <w:sz w:val="16"/>
      <w:szCs w:val="16"/>
    </w:rPr>
  </w:style>
  <w:style w:type="paragraph" w:styleId="aff4">
    <w:name w:val="Body Text Indent"/>
    <w:basedOn w:val="a"/>
    <w:pPr>
      <w:spacing w:after="120"/>
      <w:ind w:left="283"/>
    </w:pPr>
    <w:rPr>
      <w:sz w:val="28"/>
      <w:szCs w:val="20"/>
    </w:rPr>
  </w:style>
  <w:style w:type="paragraph" w:customStyle="1" w:styleId="aff5">
    <w:name w:val="Знак Знак Знак Знак Знак Знак Знак"/>
    <w:basedOn w:val="a"/>
    <w:pPr>
      <w:widowControl w:val="0"/>
      <w:spacing w:before="280" w:after="280" w:line="360" w:lineRule="atLeast"/>
      <w:jc w:val="both"/>
    </w:pPr>
    <w:rPr>
      <w:rFonts w:ascii="Tahoma" w:hAnsi="Tahoma" w:cs="Tahoma"/>
      <w:sz w:val="20"/>
      <w:szCs w:val="20"/>
      <w:lang w:val="en-US"/>
    </w:rPr>
  </w:style>
  <w:style w:type="paragraph" w:styleId="aff6">
    <w:name w:val="Normal (Web)"/>
    <w:basedOn w:val="a"/>
    <w:pPr>
      <w:spacing w:before="75" w:after="75"/>
    </w:pPr>
  </w:style>
  <w:style w:type="paragraph" w:customStyle="1" w:styleId="Default">
    <w:name w:val="Default"/>
    <w:rPr>
      <w:rFonts w:eastAsia="Calibri"/>
      <w:color w:val="000000"/>
      <w:sz w:val="24"/>
      <w:szCs w:val="24"/>
      <w:lang w:eastAsia="zh-CN"/>
    </w:rPr>
  </w:style>
  <w:style w:type="paragraph" w:customStyle="1" w:styleId="210">
    <w:name w:val="Основной текст с отступом 21"/>
    <w:basedOn w:val="a"/>
    <w:pPr>
      <w:spacing w:after="120" w:line="480" w:lineRule="auto"/>
      <w:ind w:left="283"/>
    </w:pPr>
    <w:rPr>
      <w:rFonts w:ascii="Calibri" w:eastAsia="Calibri" w:hAnsi="Calibri"/>
      <w:sz w:val="22"/>
      <w:szCs w:val="22"/>
    </w:rPr>
  </w:style>
  <w:style w:type="paragraph" w:customStyle="1" w:styleId="Standard">
    <w:name w:val="Standard"/>
    <w:pPr>
      <w:widowControl w:val="0"/>
    </w:pPr>
    <w:rPr>
      <w:rFonts w:eastAsia="Andale Sans UI" w:cs="Tahoma"/>
      <w:sz w:val="24"/>
      <w:szCs w:val="24"/>
      <w:lang w:val="de-DE" w:eastAsia="ja-JP" w:bidi="fa-IR"/>
    </w:rPr>
  </w:style>
  <w:style w:type="paragraph" w:customStyle="1" w:styleId="msonormalmrcssattr">
    <w:name w:val="msonormal_mr_css_attr"/>
    <w:basedOn w:val="a"/>
    <w:pPr>
      <w:spacing w:before="280" w:after="280"/>
    </w:pPr>
  </w:style>
  <w:style w:type="paragraph" w:customStyle="1" w:styleId="aff7">
    <w:name w:val="Содержимое таблицы"/>
    <w:basedOn w:val="a"/>
    <w:pPr>
      <w:suppressLineNumbers/>
    </w:pPr>
  </w:style>
  <w:style w:type="paragraph" w:customStyle="1" w:styleId="aff8">
    <w:name w:val="Заголовок таблицы"/>
    <w:basedOn w:val="aff7"/>
    <w:pPr>
      <w:jc w:val="center"/>
    </w:pPr>
    <w:rPr>
      <w:b/>
      <w:bCs/>
    </w:rPr>
  </w:style>
  <w:style w:type="paragraph" w:customStyle="1" w:styleId="18">
    <w:name w:val="Обычный1"/>
    <w:pPr>
      <w:widowControl w:val="0"/>
    </w:pPr>
    <w:rPr>
      <w:rFonts w:ascii="Liberation Serif" w:eastAsia="Droid Sans Fallback" w:hAnsi="Liberation Serif" w:cs="Droid Sans Devanagari"/>
      <w:color w:val="000000"/>
      <w:sz w:val="24"/>
      <w:szCs w:val="24"/>
      <w:lang w:eastAsia="zh-CN" w:bidi="hi-IN"/>
    </w:rPr>
  </w:style>
  <w:style w:type="paragraph" w:customStyle="1" w:styleId="aff9">
    <w:name w:val="Другое"/>
    <w:basedOn w:val="18"/>
    <w:rPr>
      <w:rFonts w:ascii="Times New Roman" w:eastAsia="Times New Roman" w:hAnsi="Times New Roman" w:cs="Times New Roman"/>
      <w:sz w:val="20"/>
      <w:szCs w:val="20"/>
    </w:rPr>
  </w:style>
  <w:style w:type="paragraph" w:customStyle="1" w:styleId="19">
    <w:name w:val="Основной текст1"/>
    <w:basedOn w:val="18"/>
    <w:pPr>
      <w:spacing w:after="80"/>
    </w:pPr>
    <w:rPr>
      <w:rFonts w:ascii="Times New Roman" w:eastAsia="Times New Roman" w:hAnsi="Times New Roman" w:cs="Times New Roman"/>
    </w:rPr>
  </w:style>
  <w:style w:type="paragraph" w:customStyle="1" w:styleId="1a">
    <w:name w:val="Обычная таблица1"/>
    <w:pPr>
      <w:spacing w:after="200" w:line="276" w:lineRule="auto"/>
    </w:pPr>
    <w:rPr>
      <w:rFonts w:ascii="Calibri" w:eastAsia="Calibri" w:hAnsi="Calibri"/>
      <w:sz w:val="22"/>
      <w:szCs w:val="22"/>
      <w:lang w:eastAsia="en-US"/>
    </w:rPr>
  </w:style>
  <w:style w:type="character" w:customStyle="1" w:styleId="ae">
    <w:name w:val="Нижний колонтитул Знак"/>
    <w:link w:val="ad"/>
    <w:uiPriority w:val="99"/>
    <w:rPr>
      <w:sz w:val="24"/>
      <w:szCs w:val="24"/>
      <w:lang w:eastAsia="zh-CN"/>
    </w:rPr>
  </w:style>
  <w:style w:type="character" w:customStyle="1" w:styleId="ac">
    <w:name w:val="Верхний колонтитул Знак"/>
    <w:link w:val="ab"/>
    <w:uiPriority w:val="99"/>
    <w:rPr>
      <w:sz w:val="24"/>
      <w:szCs w:val="24"/>
      <w:lang w:eastAsia="zh-CN"/>
    </w:rPr>
  </w:style>
  <w:style w:type="paragraph" w:styleId="affa">
    <w:name w:val="annotation text"/>
    <w:basedOn w:val="a"/>
    <w:link w:val="affb"/>
    <w:uiPriority w:val="99"/>
    <w:semiHidden/>
    <w:unhideWhenUsed/>
    <w:rPr>
      <w:sz w:val="20"/>
      <w:szCs w:val="20"/>
    </w:rPr>
  </w:style>
  <w:style w:type="character" w:customStyle="1" w:styleId="affb">
    <w:name w:val="Текст примечания Знак"/>
    <w:basedOn w:val="a1"/>
    <w:link w:val="affa"/>
    <w:uiPriority w:val="99"/>
    <w:semiHidden/>
    <w:rPr>
      <w:lang w:eastAsia="zh-CN"/>
    </w:rPr>
  </w:style>
  <w:style w:type="character" w:styleId="affc">
    <w:name w:val="annotation reference"/>
    <w:basedOn w:val="a1"/>
    <w:uiPriority w:val="99"/>
    <w:semiHidden/>
    <w:unhideWhenUsed/>
    <w:rPr>
      <w:sz w:val="16"/>
      <w:szCs w:val="16"/>
    </w:rPr>
  </w:style>
  <w:style w:type="paragraph" w:styleId="affd">
    <w:name w:val="annotation subject"/>
    <w:basedOn w:val="affa"/>
    <w:next w:val="affa"/>
    <w:link w:val="affe"/>
    <w:uiPriority w:val="99"/>
    <w:semiHidden/>
    <w:unhideWhenUsed/>
    <w:rPr>
      <w:b/>
      <w:bCs/>
    </w:rPr>
  </w:style>
  <w:style w:type="character" w:customStyle="1" w:styleId="affe">
    <w:name w:val="Тема примечания Знак"/>
    <w:basedOn w:val="affb"/>
    <w:link w:val="affd"/>
    <w:uiPriority w:val="99"/>
    <w:semiHidden/>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1288</Words>
  <Characters>7343</Characters>
  <Application>Microsoft Office Word</Application>
  <DocSecurity>0</DocSecurity>
  <Lines>61</Lines>
  <Paragraphs>17</Paragraphs>
  <ScaleCrop>false</ScaleCrop>
  <Company>PNO</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dc:title>
  <dc:creator>Пользователь</dc:creator>
  <cp:lastModifiedBy>Волина Лиля Геннадьевна</cp:lastModifiedBy>
  <cp:revision>12</cp:revision>
  <dcterms:created xsi:type="dcterms:W3CDTF">2025-03-20T04:54:00Z</dcterms:created>
  <dcterms:modified xsi:type="dcterms:W3CDTF">2025-03-26T07:49:00Z</dcterms:modified>
  <cp:version>1048576</cp:version>
</cp:coreProperties>
</file>