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B8" w:rsidRPr="00A45AF4" w:rsidRDefault="00040E57" w:rsidP="00A45AF4">
      <w:pPr>
        <w:widowControl w:val="0"/>
        <w:ind w:left="595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</w:t>
      </w:r>
      <w:r w:rsidR="00A45AF4" w:rsidRPr="00A45AF4">
        <w:rPr>
          <w:sz w:val="28"/>
          <w:szCs w:val="28"/>
        </w:rPr>
        <w:t>ТВЕРЖДЕНА</w:t>
      </w:r>
    </w:p>
    <w:p w:rsidR="00A751B8" w:rsidRPr="00A45AF4" w:rsidRDefault="00A45AF4" w:rsidP="00A45AF4">
      <w:pPr>
        <w:widowControl w:val="0"/>
        <w:ind w:left="5954"/>
        <w:jc w:val="center"/>
        <w:rPr>
          <w:sz w:val="28"/>
          <w:szCs w:val="28"/>
        </w:rPr>
      </w:pPr>
      <w:r w:rsidRPr="00A45AF4">
        <w:rPr>
          <w:sz w:val="28"/>
          <w:szCs w:val="28"/>
        </w:rPr>
        <w:t>приказом министерства здравоохранения</w:t>
      </w:r>
    </w:p>
    <w:p w:rsidR="00A751B8" w:rsidRPr="00A45AF4" w:rsidRDefault="00A45AF4" w:rsidP="00A45AF4">
      <w:pPr>
        <w:widowControl w:val="0"/>
        <w:ind w:left="5954"/>
        <w:jc w:val="center"/>
        <w:rPr>
          <w:sz w:val="28"/>
          <w:szCs w:val="28"/>
        </w:rPr>
      </w:pPr>
      <w:r w:rsidRPr="00A45AF4">
        <w:rPr>
          <w:sz w:val="28"/>
          <w:szCs w:val="28"/>
        </w:rPr>
        <w:t>Новосибирской области</w:t>
      </w:r>
    </w:p>
    <w:p w:rsidR="00A751B8" w:rsidRPr="00A45AF4" w:rsidRDefault="00A45AF4" w:rsidP="00A45AF4">
      <w:pPr>
        <w:widowControl w:val="0"/>
        <w:ind w:left="5954"/>
        <w:jc w:val="center"/>
        <w:rPr>
          <w:sz w:val="28"/>
          <w:szCs w:val="28"/>
        </w:rPr>
      </w:pPr>
      <w:r w:rsidRPr="00A45AF4">
        <w:rPr>
          <w:sz w:val="28"/>
          <w:szCs w:val="28"/>
        </w:rPr>
        <w:t>от_________№________</w:t>
      </w:r>
    </w:p>
    <w:p w:rsidR="00A751B8" w:rsidRPr="00A45AF4" w:rsidRDefault="00A751B8" w:rsidP="00A45AF4">
      <w:pPr>
        <w:widowControl w:val="0"/>
        <w:jc w:val="both"/>
        <w:rPr>
          <w:rStyle w:val="a6"/>
          <w:szCs w:val="28"/>
        </w:rPr>
      </w:pPr>
    </w:p>
    <w:p w:rsidR="00A751B8" w:rsidRPr="00A45AF4" w:rsidRDefault="00A751B8" w:rsidP="00A45AF4">
      <w:pPr>
        <w:widowControl w:val="0"/>
        <w:jc w:val="both"/>
        <w:rPr>
          <w:rStyle w:val="a6"/>
          <w:szCs w:val="28"/>
        </w:rPr>
      </w:pPr>
    </w:p>
    <w:p w:rsidR="00A751B8" w:rsidRPr="00A45AF4" w:rsidRDefault="00A45AF4" w:rsidP="00A45AF4">
      <w:pPr>
        <w:jc w:val="center"/>
        <w:rPr>
          <w:rStyle w:val="a6"/>
          <w:b/>
          <w:szCs w:val="28"/>
        </w:rPr>
      </w:pPr>
      <w:r w:rsidRPr="00A45AF4">
        <w:rPr>
          <w:rStyle w:val="a6"/>
          <w:b/>
          <w:szCs w:val="28"/>
        </w:rPr>
        <w:t>ИНСТРУКЦИЯ</w:t>
      </w:r>
    </w:p>
    <w:p w:rsidR="00A751B8" w:rsidRPr="00A45AF4" w:rsidRDefault="00A45AF4" w:rsidP="00A45AF4">
      <w:pPr>
        <w:jc w:val="center"/>
        <w:rPr>
          <w:rStyle w:val="a6"/>
          <w:b/>
          <w:szCs w:val="28"/>
        </w:rPr>
      </w:pPr>
      <w:r w:rsidRPr="00A45AF4">
        <w:rPr>
          <w:rStyle w:val="a6"/>
          <w:b/>
          <w:szCs w:val="28"/>
        </w:rPr>
        <w:t xml:space="preserve">проведения диспансерного наблюдения </w:t>
      </w:r>
      <w:bookmarkStart w:id="1" w:name="_Hlk205539238"/>
      <w:r w:rsidRPr="00A45AF4">
        <w:rPr>
          <w:rStyle w:val="a6"/>
          <w:b/>
          <w:szCs w:val="28"/>
        </w:rPr>
        <w:t>пациентов с заболеваниями эндокринной системы</w:t>
      </w:r>
      <w:bookmarkEnd w:id="1"/>
      <w:r w:rsidRPr="00A45AF4">
        <w:rPr>
          <w:rStyle w:val="a6"/>
          <w:b/>
          <w:szCs w:val="28"/>
        </w:rPr>
        <w:t xml:space="preserve"> в Новосибирской области</w:t>
      </w:r>
    </w:p>
    <w:p w:rsidR="00A751B8" w:rsidRPr="00A45AF4" w:rsidRDefault="00A751B8" w:rsidP="00A45AF4">
      <w:pPr>
        <w:widowControl w:val="0"/>
        <w:jc w:val="both"/>
        <w:rPr>
          <w:sz w:val="28"/>
          <w:szCs w:val="28"/>
        </w:rPr>
      </w:pPr>
    </w:p>
    <w:p w:rsidR="00A751B8" w:rsidRPr="00A45AF4" w:rsidRDefault="00A45AF4" w:rsidP="007E33C3">
      <w:pPr>
        <w:pStyle w:val="af5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Настоящая Инструкция регулирует вопросы проведения медицинскими организациями, имеющими прикрепленное население, диспансерного наблюдения пациентов с заболеваниями эндокринной системы (в возрасте 18 лет и старше) на территории Новосибирской области.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Диспансерное наблюдение организуется на основании Порядка проведения диспансерного наблюдения за взрослыми, утвержденного приказом министерства здравоохранения Российской Федерации от 15.03.2022 № 168н.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Датой установления диагноза для цели установления диспансерного наблюдения считать дату направления пациента с заболеваниями эндокринной системы врачом кабинета медицинской профилактики, другими специалистами первичной медицинской организации, датой выписки из стационара к врачу терапевту участковому или врачу общей врачебной практики первичной медицинской организации.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В течение трех дней от даты установления диагноза врач терапевт участковый или врач общей врачебной практики первичной медицинской организации обязан установить диспансерное наблюдение в медицинской информационной системе Новосибирской области.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Вызов пациента для прохождения диспансерного осмотра должен осуществляться активно по телефону. В случаях, когда пациент маломобилен, возможно проведение диспансерного осмотра с использованием телемедицинских технологий, согласно приказу министерства здравоохранения Новосибирской области от 08.07.2021 № 1691 «Об утверждении положения об организации и оказании медицинской помощи с применением телемедицинских технологий и плана мероприятий по внедрению телемедицинских технологий на территории Новосибирской области».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Назначение следующей явки на диспансерный прием, необходимых диагностических исследований, осуществляется врачом терапевтом участковым или врачом общей врачебной практики первичной медицинской организации с использованием Медицинской информационной системы Новосибирской области.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Критериями эффективности диспансерного наблюдения являются: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90% охват диспансерным наблюдением пациентов с заболеваниями эндокринной системы;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 xml:space="preserve">своевременность постановки на диспансерное наблюдение </w:t>
      </w:r>
      <w:r w:rsidRPr="00A45AF4">
        <w:rPr>
          <w:rFonts w:ascii="Times New Roman" w:hAnsi="Times New Roman" w:cs="Times New Roman"/>
          <w:sz w:val="28"/>
          <w:szCs w:val="28"/>
        </w:rPr>
        <w:lastRenderedPageBreak/>
        <w:t>медицинской организацией;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 xml:space="preserve">своевременность выявления осложнений сахарного диабета на ранних стадиях и направления в специализированные кабинеты </w:t>
      </w:r>
      <w:r w:rsidR="006B1BBD">
        <w:rPr>
          <w:rFonts w:ascii="Times New Roman" w:hAnsi="Times New Roman" w:cs="Times New Roman"/>
          <w:sz w:val="28"/>
          <w:szCs w:val="28"/>
        </w:rPr>
        <w:t>межрайонного эндокринологичесеского</w:t>
      </w:r>
      <w:r w:rsidR="006B1BBD" w:rsidRPr="006B1BB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B1BBD">
        <w:rPr>
          <w:rFonts w:ascii="Times New Roman" w:hAnsi="Times New Roman" w:cs="Times New Roman"/>
          <w:sz w:val="28"/>
          <w:szCs w:val="28"/>
        </w:rPr>
        <w:t>а (далее – МЭЦ) и регионального эндокринологического</w:t>
      </w:r>
      <w:r w:rsidR="006B1BBD" w:rsidRPr="006B1BB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B1BBD">
        <w:rPr>
          <w:rFonts w:ascii="Times New Roman" w:hAnsi="Times New Roman" w:cs="Times New Roman"/>
          <w:sz w:val="28"/>
          <w:szCs w:val="28"/>
        </w:rPr>
        <w:t>а</w:t>
      </w:r>
      <w:r w:rsidR="006B1BBD" w:rsidRPr="006B1BBD">
        <w:rPr>
          <w:rFonts w:ascii="Times New Roman" w:hAnsi="Times New Roman" w:cs="Times New Roman"/>
          <w:sz w:val="28"/>
          <w:szCs w:val="28"/>
        </w:rPr>
        <w:t xml:space="preserve"> (далее – РЭЦ)</w:t>
      </w:r>
      <w:r w:rsidRPr="00A45AF4">
        <w:rPr>
          <w:rFonts w:ascii="Times New Roman" w:hAnsi="Times New Roman" w:cs="Times New Roman"/>
          <w:sz w:val="28"/>
          <w:szCs w:val="28"/>
        </w:rPr>
        <w:t>;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повышение показателя доли больных, прошедших терапевтическое обучение в кабинете «Школа для пациентов с сахарным диабетом»;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повышение показателя доли больных, которым исследован уровень гликированного гемоглобина не менее 1 раз в 3 месяца;</w:t>
      </w:r>
    </w:p>
    <w:p w:rsidR="00A751B8" w:rsidRPr="00A45AF4" w:rsidRDefault="00A45AF4" w:rsidP="007E33C3">
      <w:pPr>
        <w:pStyle w:val="af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>повышение показателя доли больных, достигших целевого показателя уровня гликированного гемоглобина.</w:t>
      </w:r>
    </w:p>
    <w:p w:rsidR="00A751B8" w:rsidRPr="00A45AF4" w:rsidRDefault="00A45AF4" w:rsidP="007E33C3">
      <w:pPr>
        <w:pStyle w:val="af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 xml:space="preserve">7. При первичной постановке на диспансерный учет больного с сахарным диабетом, далее не реже 1 раза в год врач-терапевт участковый, врач общей врачебной практики определяет риск развития синдрома диабетической стопы и заполняет осмотр/анкету в </w:t>
      </w:r>
      <w:r w:rsidR="006B1BBD" w:rsidRPr="006B1BBD">
        <w:rPr>
          <w:rFonts w:ascii="Times New Roman" w:hAnsi="Times New Roman" w:cs="Times New Roman"/>
          <w:sz w:val="28"/>
          <w:szCs w:val="28"/>
        </w:rPr>
        <w:t>Медицинской информационной системе Новосибирской области (далее - МИС НСО)</w:t>
      </w:r>
      <w:r w:rsidRPr="00A45AF4">
        <w:rPr>
          <w:rFonts w:ascii="Times New Roman" w:hAnsi="Times New Roman" w:cs="Times New Roman"/>
          <w:sz w:val="28"/>
          <w:szCs w:val="28"/>
        </w:rPr>
        <w:t>: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Курение: нет, да 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Год выявления сахарного диабета ________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Тип  СД 1, Тип СД 2,  Тип СД 2 на инсулинотерапии.  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Рост ______Вес ______</w:t>
      </w:r>
    </w:p>
    <w:p w:rsidR="00A751B8" w:rsidRPr="00A45AF4" w:rsidRDefault="00A45AF4" w:rsidP="007E33C3">
      <w:pPr>
        <w:pStyle w:val="6"/>
        <w:ind w:firstLine="709"/>
        <w:rPr>
          <w:b w:val="0"/>
          <w:bCs w:val="0"/>
        </w:rPr>
      </w:pPr>
      <w:r w:rsidRPr="00A45AF4">
        <w:rPr>
          <w:b w:val="0"/>
          <w:bCs w:val="0"/>
        </w:rPr>
        <w:t>Язва в анамнезе:</w:t>
      </w:r>
      <w:r w:rsidRPr="00A45AF4">
        <w:rPr>
          <w:b w:val="0"/>
          <w:bCs w:val="0"/>
        </w:rPr>
        <w:tab/>
        <w:t>Нет, Да</w:t>
      </w:r>
      <w:r w:rsidRPr="00A45AF4">
        <w:rPr>
          <w:b w:val="0"/>
          <w:bCs w:val="0"/>
        </w:rPr>
        <w:tab/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Ампутация в анамнезе</w:t>
      </w:r>
      <w:r w:rsidRPr="00A45AF4">
        <w:rPr>
          <w:sz w:val="28"/>
          <w:szCs w:val="28"/>
        </w:rPr>
        <w:tab/>
        <w:t xml:space="preserve">Нет, Да 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Осмотр:</w:t>
      </w:r>
    </w:p>
    <w:tbl>
      <w:tblPr>
        <w:tblW w:w="96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9"/>
        <w:gridCol w:w="1936"/>
        <w:gridCol w:w="1524"/>
      </w:tblGrid>
      <w:tr w:rsidR="00A751B8" w:rsidRPr="00A45AF4">
        <w:tc>
          <w:tcPr>
            <w:tcW w:w="62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center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Л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center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П</w:t>
            </w:r>
          </w:p>
        </w:tc>
      </w:tr>
      <w:tr w:rsidR="00A751B8" w:rsidRPr="00A45AF4">
        <w:trPr>
          <w:trHeight w:val="384"/>
        </w:trPr>
        <w:tc>
          <w:tcPr>
            <w:tcW w:w="622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 xml:space="preserve">Пульс на тыльной  артерии стопы </w:t>
            </w:r>
          </w:p>
        </w:tc>
        <w:tc>
          <w:tcPr>
            <w:tcW w:w="1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  <w:tr w:rsidR="00A751B8" w:rsidRPr="00A45AF4">
        <w:tc>
          <w:tcPr>
            <w:tcW w:w="6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Пульс на задней большеберцовой  артерии стопы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  <w:tr w:rsidR="00A751B8" w:rsidRPr="00A45AF4">
        <w:tc>
          <w:tcPr>
            <w:tcW w:w="62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Монофиламент 10 гр. Чувствует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  <w:tr w:rsidR="00A751B8" w:rsidRPr="00A45AF4">
        <w:tc>
          <w:tcPr>
            <w:tcW w:w="62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Язва или рана стопы на момент осмотра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51B8" w:rsidRPr="00A45AF4" w:rsidRDefault="00A45AF4" w:rsidP="00A45AF4">
      <w:pPr>
        <w:pStyle w:val="ab"/>
        <w:spacing w:before="0" w:after="0"/>
        <w:rPr>
          <w:rFonts w:cs="Times New Roman"/>
          <w:i w:val="0"/>
          <w:iCs w:val="0"/>
          <w:sz w:val="28"/>
          <w:szCs w:val="28"/>
        </w:rPr>
      </w:pPr>
      <w:r w:rsidRPr="00A45AF4">
        <w:rPr>
          <w:rFonts w:cs="Times New Roman"/>
          <w:b/>
          <w:i w:val="0"/>
          <w:iCs w:val="0"/>
          <w:sz w:val="28"/>
          <w:szCs w:val="28"/>
        </w:rPr>
        <w:t>Д</w:t>
      </w:r>
      <w:r w:rsidRPr="00A45AF4">
        <w:rPr>
          <w:rFonts w:cs="Times New Roman"/>
          <w:i w:val="0"/>
          <w:iCs w:val="0"/>
          <w:sz w:val="28"/>
          <w:szCs w:val="28"/>
        </w:rPr>
        <w:t xml:space="preserve">еформация стопы: </w:t>
      </w:r>
      <w:r w:rsidRPr="00A45AF4">
        <w:rPr>
          <w:rFonts w:cs="Times New Roman"/>
          <w:i w:val="0"/>
          <w:iCs w:val="0"/>
          <w:sz w:val="28"/>
          <w:szCs w:val="28"/>
        </w:rPr>
        <w:tab/>
        <w:t>Нет, Да</w:t>
      </w:r>
    </w:p>
    <w:tbl>
      <w:tblPr>
        <w:tblW w:w="96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5"/>
        <w:gridCol w:w="1812"/>
        <w:gridCol w:w="1932"/>
      </w:tblGrid>
      <w:tr w:rsidR="00A751B8" w:rsidRPr="00A45AF4">
        <w:tc>
          <w:tcPr>
            <w:tcW w:w="59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center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Л</w:t>
            </w:r>
          </w:p>
        </w:tc>
        <w:tc>
          <w:tcPr>
            <w:tcW w:w="19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center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П</w:t>
            </w:r>
          </w:p>
        </w:tc>
      </w:tr>
      <w:tr w:rsidR="00A751B8" w:rsidRPr="00A45AF4">
        <w:tc>
          <w:tcPr>
            <w:tcW w:w="594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Деформации стопы после операций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  <w:tr w:rsidR="00A751B8" w:rsidRPr="00A45AF4">
        <w:tc>
          <w:tcPr>
            <w:tcW w:w="5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pStyle w:val="7"/>
              <w:numPr>
                <w:ilvl w:val="0"/>
                <w:numId w:val="0"/>
              </w:numPr>
              <w:jc w:val="left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Деформации пальцев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  <w:tr w:rsidR="00A751B8" w:rsidRPr="00A45AF4">
        <w:tc>
          <w:tcPr>
            <w:tcW w:w="5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Плоскостопие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  <w:tr w:rsidR="00A751B8" w:rsidRPr="00A45AF4">
        <w:tc>
          <w:tcPr>
            <w:tcW w:w="5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Артропатия Шарко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  <w:tr w:rsidR="00A751B8" w:rsidRPr="00A45AF4">
        <w:tc>
          <w:tcPr>
            <w:tcW w:w="59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pStyle w:val="8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Другая деформация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751B8" w:rsidP="00A45A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51B8" w:rsidRPr="00A45AF4" w:rsidRDefault="00A45AF4" w:rsidP="007E33C3">
      <w:pPr>
        <w:ind w:firstLine="709"/>
        <w:rPr>
          <w:sz w:val="28"/>
          <w:szCs w:val="28"/>
        </w:rPr>
      </w:pPr>
      <w:r w:rsidRPr="00A45AF4">
        <w:rPr>
          <w:sz w:val="28"/>
          <w:szCs w:val="28"/>
        </w:rPr>
        <w:t xml:space="preserve">Риск развития язвы </w:t>
      </w:r>
    </w:p>
    <w:tbl>
      <w:tblPr>
        <w:tblW w:w="96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9"/>
        <w:gridCol w:w="4487"/>
        <w:gridCol w:w="2253"/>
      </w:tblGrid>
      <w:tr w:rsidR="00A751B8" w:rsidRPr="00A45AF4"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Очень низкий риск</w:t>
            </w:r>
          </w:p>
        </w:tc>
        <w:tc>
          <w:tcPr>
            <w:tcW w:w="4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Чувствует монофиламент;</w:t>
            </w:r>
          </w:p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Язв и ампутаций не было;</w:t>
            </w:r>
          </w:p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Деформации — нет;</w:t>
            </w:r>
          </w:p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Пульс на артериях стоп сохранен;</w:t>
            </w:r>
          </w:p>
        </w:tc>
        <w:tc>
          <w:tcPr>
            <w:tcW w:w="2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Диспансерное наблюдение терапевта 1 раз в год</w:t>
            </w:r>
          </w:p>
        </w:tc>
      </w:tr>
      <w:tr w:rsidR="00A751B8" w:rsidRPr="00A45AF4">
        <w:tc>
          <w:tcPr>
            <w:tcW w:w="29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both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Низкий риск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Не чувствует монофиламент</w:t>
            </w:r>
            <w:r>
              <w:rPr>
                <w:sz w:val="28"/>
                <w:szCs w:val="28"/>
              </w:rPr>
              <w:t xml:space="preserve"> </w:t>
            </w:r>
            <w:r w:rsidRPr="00A45AF4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>
              <w:t>п</w:t>
            </w:r>
            <w:r w:rsidRPr="00A45AF4">
              <w:t>ульс на артериях стоп отсутствует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both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 xml:space="preserve">Осмотр в кабинете диабетической </w:t>
            </w:r>
            <w:r w:rsidRPr="00A45AF4">
              <w:rPr>
                <w:sz w:val="28"/>
                <w:szCs w:val="28"/>
              </w:rPr>
              <w:lastRenderedPageBreak/>
              <w:t>стопы 1 раз в 6 месяцев</w:t>
            </w:r>
          </w:p>
        </w:tc>
      </w:tr>
      <w:tr w:rsidR="00A751B8" w:rsidRPr="00A45AF4">
        <w:tc>
          <w:tcPr>
            <w:tcW w:w="29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pStyle w:val="3"/>
              <w:numPr>
                <w:ilvl w:val="0"/>
                <w:numId w:val="0"/>
              </w:numPr>
              <w:rPr>
                <w:szCs w:val="28"/>
              </w:rPr>
            </w:pPr>
            <w:r w:rsidRPr="00A45AF4">
              <w:rPr>
                <w:szCs w:val="28"/>
              </w:rPr>
              <w:lastRenderedPageBreak/>
              <w:t>Умеренный риск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pStyle w:val="1"/>
              <w:numPr>
                <w:ilvl w:val="0"/>
                <w:numId w:val="0"/>
              </w:numPr>
              <w:jc w:val="left"/>
            </w:pPr>
            <w:r w:rsidRPr="00A45AF4">
              <w:t xml:space="preserve">Не чувствует монофиламент </w:t>
            </w:r>
            <w:r>
              <w:t>и</w:t>
            </w:r>
          </w:p>
          <w:p w:rsidR="00A751B8" w:rsidRPr="00A45AF4" w:rsidRDefault="00A45AF4" w:rsidP="00A45AF4">
            <w:pPr>
              <w:pStyle w:val="1"/>
              <w:numPr>
                <w:ilvl w:val="0"/>
                <w:numId w:val="0"/>
              </w:numPr>
              <w:jc w:val="left"/>
            </w:pPr>
            <w:r w:rsidRPr="00A45AF4">
              <w:t>Пульс на артериях стоп отсутствует</w:t>
            </w:r>
            <w:r>
              <w:t xml:space="preserve"> </w:t>
            </w:r>
            <w:r w:rsidRPr="00A45AF4">
              <w:t>или</w:t>
            </w:r>
            <w:r>
              <w:t xml:space="preserve"> н</w:t>
            </w:r>
            <w:r w:rsidRPr="00A45AF4">
              <w:t>е чувствует монофиламент</w:t>
            </w:r>
            <w:r>
              <w:t xml:space="preserve"> и</w:t>
            </w:r>
            <w:r w:rsidRPr="00A45AF4">
              <w:t xml:space="preserve"> деформации есть</w:t>
            </w:r>
            <w:r>
              <w:t xml:space="preserve"> и</w:t>
            </w:r>
            <w:r w:rsidRPr="00A45AF4">
              <w:t>ли</w:t>
            </w:r>
            <w:r>
              <w:t xml:space="preserve"> п</w:t>
            </w:r>
            <w:r w:rsidRPr="00A45AF4">
              <w:t>ульс на артериях стоп отсутствует и деформации есть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both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Осмотр в кабинете диабетической стопы 1 раз в 3 месяца</w:t>
            </w:r>
          </w:p>
        </w:tc>
      </w:tr>
      <w:tr w:rsidR="00A751B8" w:rsidRPr="00A45AF4">
        <w:tc>
          <w:tcPr>
            <w:tcW w:w="294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both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Высокий риск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center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Язва и/или ампутация в анамнезе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751B8" w:rsidRPr="00A45AF4" w:rsidRDefault="00A45AF4" w:rsidP="00A45AF4">
            <w:pPr>
              <w:jc w:val="both"/>
              <w:rPr>
                <w:sz w:val="28"/>
                <w:szCs w:val="28"/>
              </w:rPr>
            </w:pPr>
            <w:r w:rsidRPr="00A45AF4">
              <w:rPr>
                <w:sz w:val="28"/>
                <w:szCs w:val="28"/>
              </w:rPr>
              <w:t>Осмотр в кабинете диабетической стопы 1 раз в 3 месяца</w:t>
            </w:r>
          </w:p>
        </w:tc>
      </w:tr>
    </w:tbl>
    <w:p w:rsidR="00A751B8" w:rsidRPr="00A45AF4" w:rsidRDefault="00A45AF4" w:rsidP="007E33C3">
      <w:pPr>
        <w:ind w:firstLine="709"/>
        <w:rPr>
          <w:sz w:val="28"/>
          <w:szCs w:val="28"/>
        </w:rPr>
      </w:pPr>
      <w:r w:rsidRPr="00A45AF4">
        <w:rPr>
          <w:sz w:val="28"/>
          <w:szCs w:val="28"/>
        </w:rPr>
        <w:t xml:space="preserve">Заключение: </w:t>
      </w:r>
    </w:p>
    <w:p w:rsidR="00A751B8" w:rsidRPr="00A45AF4" w:rsidRDefault="00A45AF4" w:rsidP="007E33C3">
      <w:pPr>
        <w:ind w:firstLine="709"/>
        <w:rPr>
          <w:sz w:val="28"/>
          <w:szCs w:val="28"/>
        </w:rPr>
      </w:pPr>
      <w:r w:rsidRPr="00A45AF4">
        <w:rPr>
          <w:sz w:val="28"/>
          <w:szCs w:val="28"/>
        </w:rPr>
        <w:t>Диабетическая стопа: Нет, Да</w:t>
      </w:r>
    </w:p>
    <w:p w:rsidR="00A751B8" w:rsidRPr="00A45AF4" w:rsidRDefault="00A45AF4" w:rsidP="007E33C3">
      <w:pPr>
        <w:ind w:firstLine="709"/>
        <w:rPr>
          <w:sz w:val="28"/>
          <w:szCs w:val="28"/>
        </w:rPr>
      </w:pPr>
      <w:r w:rsidRPr="00A45AF4">
        <w:rPr>
          <w:sz w:val="28"/>
          <w:szCs w:val="28"/>
        </w:rPr>
        <w:t>Риск ______________________________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 xml:space="preserve">8. После определения риска развития синдрома диабетической стопы для больного сахарный диабетом, определяются показания для наблюдения или направления в кабинеты специализированного приема первичной медицинской организации или МЭЦ/РЭЦ в соответствии с показаниями с соблюдением срока, установленного </w:t>
      </w:r>
      <w:r w:rsidR="00351124" w:rsidRPr="00351124">
        <w:rPr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на территории Новосибирской области (далее – ТПГГ НСО)</w:t>
      </w:r>
      <w:r w:rsidRPr="00351124">
        <w:rPr>
          <w:sz w:val="28"/>
          <w:szCs w:val="28"/>
        </w:rPr>
        <w:t>.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1) При очень низком риске наблюдение терапевта по месту жительства 1 раз в год.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2) При наличии низкого риска, отсутствии пульсации на артериях стоп направление на ультразвуковую допплерографию артерий нижних конечностей, направление на консультацию эндокринолога, обучение в Школе для пациентов сахарны</w:t>
      </w:r>
      <w:r w:rsidR="00351124">
        <w:rPr>
          <w:sz w:val="28"/>
          <w:szCs w:val="28"/>
        </w:rPr>
        <w:t>м диабетом» 1 раз в 6 месяцев.</w:t>
      </w:r>
    </w:p>
    <w:p w:rsidR="00A751B8" w:rsidRPr="00A45AF4" w:rsidRDefault="00A45AF4" w:rsidP="007E33C3">
      <w:pPr>
        <w:ind w:firstLine="709"/>
        <w:jc w:val="both"/>
        <w:rPr>
          <w:sz w:val="28"/>
          <w:szCs w:val="28"/>
        </w:rPr>
      </w:pPr>
      <w:r w:rsidRPr="00A45AF4">
        <w:rPr>
          <w:sz w:val="28"/>
          <w:szCs w:val="28"/>
        </w:rPr>
        <w:t>3) При наличии приобретенной деформации стоп направление на консультацию подиатра (травматолога-ортопеда) первичной медици</w:t>
      </w:r>
      <w:r w:rsidR="002F4147">
        <w:rPr>
          <w:sz w:val="28"/>
          <w:szCs w:val="28"/>
        </w:rPr>
        <w:t>нской организации 1 раз в год.</w:t>
      </w:r>
    </w:p>
    <w:p w:rsidR="00A751B8" w:rsidRPr="00A45AF4" w:rsidRDefault="00A45AF4" w:rsidP="007E33C3">
      <w:pPr>
        <w:ind w:firstLine="709"/>
        <w:jc w:val="both"/>
      </w:pPr>
      <w:r w:rsidRPr="00A45AF4">
        <w:rPr>
          <w:sz w:val="28"/>
          <w:szCs w:val="28"/>
        </w:rPr>
        <w:t>4) При наличии язвы направление на консультацию специалиста кабинета «Диабетическая стопа» межрайонного или регионального эндокринологического центра в соответствии с маршрутизацией б</w:t>
      </w:r>
      <w:r w:rsidRPr="00A45AF4">
        <w:rPr>
          <w:rStyle w:val="a6"/>
          <w:szCs w:val="28"/>
        </w:rPr>
        <w:t>ольных сахарным диабетом (18 лет и старше) при оказании плановой специализированной медицинской помощи на территории Новосибирской области настоящего приказа 4 раза в год.</w:t>
      </w:r>
    </w:p>
    <w:p w:rsidR="00A751B8" w:rsidRPr="00A45AF4" w:rsidRDefault="00A45AF4" w:rsidP="007E33C3">
      <w:pPr>
        <w:ind w:firstLine="709"/>
        <w:jc w:val="both"/>
      </w:pPr>
      <w:r w:rsidRPr="00A45AF4">
        <w:rPr>
          <w:sz w:val="28"/>
          <w:szCs w:val="28"/>
        </w:rPr>
        <w:t xml:space="preserve">5) При наличии гангрены направление в «Центр по спасению конечности на базе </w:t>
      </w:r>
      <w:r w:rsidR="00351124" w:rsidRPr="00351124">
        <w:rPr>
          <w:sz w:val="28"/>
          <w:szCs w:val="28"/>
        </w:rPr>
        <w:t>государственного бюджетного учреждения здравоохранения Новосибирской области «Городская Новосибирская областная клиническая больница»</w:t>
      </w:r>
      <w:r w:rsidR="00351124">
        <w:rPr>
          <w:sz w:val="28"/>
          <w:szCs w:val="28"/>
        </w:rPr>
        <w:t xml:space="preserve"> (далее - </w:t>
      </w:r>
      <w:r w:rsidRPr="00A45AF4">
        <w:rPr>
          <w:sz w:val="28"/>
          <w:szCs w:val="28"/>
        </w:rPr>
        <w:t>ГБУЗ НСО «ГНОКБ»</w:t>
      </w:r>
      <w:r w:rsidR="00351124">
        <w:rPr>
          <w:sz w:val="28"/>
          <w:szCs w:val="28"/>
        </w:rPr>
        <w:t>)</w:t>
      </w:r>
      <w:r w:rsidRPr="00A45AF4">
        <w:rPr>
          <w:sz w:val="28"/>
          <w:szCs w:val="28"/>
        </w:rPr>
        <w:t xml:space="preserve"> и </w:t>
      </w:r>
      <w:r w:rsidR="00351124" w:rsidRPr="00351124"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="00351124">
        <w:rPr>
          <w:sz w:val="28"/>
          <w:szCs w:val="28"/>
        </w:rPr>
        <w:t>«Городская клиническая больница №1» (далее – ГБУЗ НСО «ГКБ №1)</w:t>
      </w:r>
      <w:r w:rsidRPr="00A45AF4">
        <w:rPr>
          <w:sz w:val="28"/>
          <w:szCs w:val="28"/>
        </w:rPr>
        <w:t>, в соответствии с маршрутизацией б</w:t>
      </w:r>
      <w:r w:rsidRPr="00A45AF4">
        <w:rPr>
          <w:rStyle w:val="a6"/>
          <w:szCs w:val="28"/>
        </w:rPr>
        <w:t xml:space="preserve">ольных сахарным диабетом (18 лет и старше) при оказании плановой </w:t>
      </w:r>
      <w:r w:rsidRPr="00A45AF4">
        <w:rPr>
          <w:rStyle w:val="a6"/>
          <w:szCs w:val="28"/>
        </w:rPr>
        <w:lastRenderedPageBreak/>
        <w:t>специализированной медицинской помощи на территории Новосибирской области настоящего приказа.</w:t>
      </w:r>
    </w:p>
    <w:p w:rsidR="00A751B8" w:rsidRPr="00A45AF4" w:rsidRDefault="00A45AF4" w:rsidP="007E33C3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5AF4">
        <w:rPr>
          <w:rFonts w:ascii="Times New Roman" w:eastAsia="Symbol" w:hAnsi="Times New Roman" w:cs="Times New Roman"/>
          <w:sz w:val="28"/>
          <w:szCs w:val="28"/>
        </w:rPr>
        <w:t xml:space="preserve">6) Этап реабилитации включает ранний послеоперационный период и последующее протезирование (при наличии показаний). На амбулаторный этап пациент должен быть выписан только с полностью зажившей раной. В связи с чем, после оказания специализированной, а в ряде случаев высокотехнологичной помощи, пациент должен быть переведен из Центра по спасению конечности на базе ГБУЗ НСО «ГНОКБ» и ГБУЗ НСО «ГКБ№1» в медицинскую организацию на долечивание: для жителей районов области – это </w:t>
      </w:r>
      <w:r w:rsidR="00351124">
        <w:rPr>
          <w:rFonts w:ascii="Times New Roman" w:eastAsia="Symbol" w:hAnsi="Times New Roman" w:cs="Times New Roman"/>
          <w:sz w:val="28"/>
          <w:szCs w:val="28"/>
        </w:rPr>
        <w:t xml:space="preserve">центральные районные больницы (далее – </w:t>
      </w:r>
      <w:r w:rsidRPr="00A45AF4">
        <w:rPr>
          <w:rFonts w:ascii="Times New Roman" w:eastAsia="Symbol" w:hAnsi="Times New Roman" w:cs="Times New Roman"/>
          <w:sz w:val="28"/>
          <w:szCs w:val="28"/>
        </w:rPr>
        <w:t>ЦРБ</w:t>
      </w:r>
      <w:r w:rsidR="00351124">
        <w:rPr>
          <w:rFonts w:ascii="Times New Roman" w:eastAsia="Symbol" w:hAnsi="Times New Roman" w:cs="Times New Roman"/>
          <w:sz w:val="28"/>
          <w:szCs w:val="28"/>
        </w:rPr>
        <w:t>)</w:t>
      </w:r>
      <w:r w:rsidRPr="00A45AF4">
        <w:rPr>
          <w:rFonts w:ascii="Times New Roman" w:eastAsia="Symbol" w:hAnsi="Times New Roman" w:cs="Times New Roman"/>
          <w:sz w:val="28"/>
          <w:szCs w:val="28"/>
        </w:rPr>
        <w:t>, для жителей г.</w:t>
      </w:r>
      <w:r w:rsidR="007E33C3">
        <w:rPr>
          <w:rFonts w:ascii="Times New Roman" w:eastAsia="Symbol" w:hAnsi="Times New Roman" w:cs="Times New Roman"/>
          <w:sz w:val="28"/>
          <w:szCs w:val="28"/>
        </w:rPr>
        <w:t> </w:t>
      </w:r>
      <w:r w:rsidRPr="00A45AF4">
        <w:rPr>
          <w:rFonts w:ascii="Times New Roman" w:eastAsia="Symbol" w:hAnsi="Times New Roman" w:cs="Times New Roman"/>
          <w:sz w:val="28"/>
          <w:szCs w:val="28"/>
        </w:rPr>
        <w:t>Н</w:t>
      </w:r>
      <w:r w:rsidR="002F4147">
        <w:rPr>
          <w:rFonts w:ascii="Times New Roman" w:eastAsia="Symbol" w:hAnsi="Times New Roman" w:cs="Times New Roman"/>
          <w:sz w:val="28"/>
          <w:szCs w:val="28"/>
        </w:rPr>
        <w:t xml:space="preserve">овосибирска – </w:t>
      </w:r>
      <w:r w:rsidR="002F4147" w:rsidRPr="002F4147">
        <w:rPr>
          <w:rFonts w:ascii="Times New Roman" w:eastAsia="Symbol" w:hAnsi="Times New Roman" w:cs="Times New Roman"/>
          <w:sz w:val="28"/>
          <w:szCs w:val="28"/>
        </w:rPr>
        <w:t>государстве</w:t>
      </w:r>
      <w:r w:rsidR="002F4147">
        <w:rPr>
          <w:rFonts w:ascii="Times New Roman" w:eastAsia="Symbol" w:hAnsi="Times New Roman" w:cs="Times New Roman"/>
          <w:sz w:val="28"/>
          <w:szCs w:val="28"/>
        </w:rPr>
        <w:t>нное бюджетное учреждение</w:t>
      </w:r>
      <w:r w:rsidR="002F4147" w:rsidRPr="002F4147">
        <w:rPr>
          <w:rFonts w:ascii="Times New Roman" w:eastAsia="Symbol" w:hAnsi="Times New Roman" w:cs="Times New Roman"/>
          <w:sz w:val="28"/>
          <w:szCs w:val="28"/>
        </w:rPr>
        <w:t xml:space="preserve"> здравоохранения Новосибирской области «Городская</w:t>
      </w:r>
      <w:r w:rsidR="002F4147">
        <w:rPr>
          <w:rFonts w:ascii="Times New Roman" w:eastAsia="Symbol" w:hAnsi="Times New Roman" w:cs="Times New Roman"/>
          <w:sz w:val="28"/>
          <w:szCs w:val="28"/>
        </w:rPr>
        <w:t xml:space="preserve"> больница №4</w:t>
      </w:r>
      <w:r w:rsidR="002F4147" w:rsidRPr="002F4147">
        <w:rPr>
          <w:rFonts w:ascii="Times New Roman" w:eastAsia="Symbol" w:hAnsi="Times New Roman" w:cs="Times New Roman"/>
          <w:sz w:val="28"/>
          <w:szCs w:val="28"/>
        </w:rPr>
        <w:t xml:space="preserve">» </w:t>
      </w:r>
      <w:r w:rsidR="002F4147">
        <w:rPr>
          <w:rFonts w:ascii="Times New Roman" w:eastAsia="Symbol" w:hAnsi="Times New Roman" w:cs="Times New Roman"/>
          <w:sz w:val="28"/>
          <w:szCs w:val="28"/>
        </w:rPr>
        <w:t xml:space="preserve">(далее – </w:t>
      </w:r>
      <w:r w:rsidR="002F4147" w:rsidRPr="00A45AF4">
        <w:rPr>
          <w:rFonts w:ascii="Times New Roman" w:eastAsia="Symbol" w:hAnsi="Times New Roman" w:cs="Times New Roman"/>
          <w:sz w:val="28"/>
          <w:szCs w:val="28"/>
        </w:rPr>
        <w:t>ГБУЗ</w:t>
      </w:r>
      <w:r w:rsidRPr="00A45AF4">
        <w:rPr>
          <w:rFonts w:ascii="Times New Roman" w:eastAsia="Symbol" w:hAnsi="Times New Roman" w:cs="Times New Roman"/>
          <w:sz w:val="28"/>
          <w:szCs w:val="28"/>
        </w:rPr>
        <w:t xml:space="preserve"> «ГБ №4»</w:t>
      </w:r>
      <w:r w:rsidR="002F4147">
        <w:rPr>
          <w:rFonts w:ascii="Times New Roman" w:eastAsia="Symbol" w:hAnsi="Times New Roman" w:cs="Times New Roman"/>
          <w:sz w:val="28"/>
          <w:szCs w:val="28"/>
        </w:rPr>
        <w:t>)</w:t>
      </w:r>
      <w:r w:rsidRPr="00A45AF4">
        <w:rPr>
          <w:rFonts w:ascii="Times New Roman" w:eastAsia="Symbol" w:hAnsi="Times New Roman" w:cs="Times New Roman"/>
          <w:sz w:val="28"/>
          <w:szCs w:val="28"/>
        </w:rPr>
        <w:t>.</w:t>
      </w:r>
    </w:p>
    <w:p w:rsidR="00A751B8" w:rsidRPr="00A45AF4" w:rsidRDefault="00A45AF4" w:rsidP="007E33C3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F4">
        <w:rPr>
          <w:rFonts w:ascii="Times New Roman" w:hAnsi="Times New Roman" w:cs="Times New Roman"/>
          <w:sz w:val="28"/>
          <w:szCs w:val="28"/>
        </w:rPr>
        <w:t xml:space="preserve">7) При первичной постановке на диспансерный учет больного с сахарным диабетом, далее не реже 1 раза в год врач-терапевт участковый, врач общей врачебной практики направляет пациента на осмотр офтальмолога, при отсутствии врача-офтальмолога, фельдшер первичной медицинской организации осуществляет осмотр и фотофиксацию глазного дна с помощью портативной фундус камеры, архивирует изображение в цифровом архиве медицинских изображений МИС НСО и направляет на </w:t>
      </w:r>
      <w:r w:rsidR="002F4147">
        <w:rPr>
          <w:rFonts w:ascii="Times New Roman" w:hAnsi="Times New Roman" w:cs="Times New Roman"/>
          <w:sz w:val="28"/>
          <w:szCs w:val="28"/>
        </w:rPr>
        <w:t>телемедицинскую консультацию</w:t>
      </w:r>
      <w:r w:rsidR="002F4147" w:rsidRPr="002F4147">
        <w:rPr>
          <w:rFonts w:ascii="Times New Roman" w:hAnsi="Times New Roman" w:cs="Times New Roman"/>
          <w:sz w:val="28"/>
          <w:szCs w:val="28"/>
        </w:rPr>
        <w:t xml:space="preserve"> (далее – ТМК)</w:t>
      </w:r>
      <w:r w:rsidR="002F4147">
        <w:rPr>
          <w:rFonts w:ascii="Times New Roman" w:hAnsi="Times New Roman" w:cs="Times New Roman"/>
          <w:sz w:val="28"/>
          <w:szCs w:val="28"/>
        </w:rPr>
        <w:t xml:space="preserve">  </w:t>
      </w:r>
      <w:r w:rsidRPr="00A45AF4">
        <w:rPr>
          <w:rFonts w:ascii="Times New Roman" w:hAnsi="Times New Roman" w:cs="Times New Roman"/>
          <w:sz w:val="28"/>
          <w:szCs w:val="28"/>
        </w:rPr>
        <w:t xml:space="preserve"> в кабинет «Диабетической ретинопатии» РЭЦ на базе ГБУЗ НСО «ГНОКБ» с соблюдением</w:t>
      </w:r>
      <w:r w:rsidR="002F4147">
        <w:rPr>
          <w:rFonts w:ascii="Times New Roman" w:hAnsi="Times New Roman" w:cs="Times New Roman"/>
          <w:sz w:val="28"/>
          <w:szCs w:val="28"/>
        </w:rPr>
        <w:t xml:space="preserve"> срока, установленного ТПГГ НСО.</w:t>
      </w:r>
    </w:p>
    <w:p w:rsidR="00A751B8" w:rsidRPr="00A45AF4" w:rsidRDefault="00A45AF4" w:rsidP="007E33C3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5AF4">
        <w:rPr>
          <w:rFonts w:ascii="Times New Roman" w:hAnsi="Times New Roman" w:cs="Times New Roman"/>
          <w:sz w:val="28"/>
          <w:szCs w:val="28"/>
        </w:rPr>
        <w:t>8) При выявлении изменений на глазном дне, пациент с сахарным диабетом должен быть направлен на консультацию врача-офтальмолога в кабинет «Диабетической ретинопатии» межрайонного или регионального эндокринологического центра в соответствии с маршрутизацией б</w:t>
      </w:r>
      <w:r w:rsidRPr="00A45AF4">
        <w:rPr>
          <w:rStyle w:val="a6"/>
          <w:rFonts w:ascii="Times New Roman" w:hAnsi="Times New Roman" w:cs="Times New Roman"/>
          <w:szCs w:val="28"/>
        </w:rPr>
        <w:t>ольных сахарным диабетом (18 лет и старше) при оказании плановой специализированной медицинской помощи на территории Новосибирской области настоящего приказа для проведения оптической когерентной томографии и определения дальнейшего лечения/наблюдения с соблюдением</w:t>
      </w:r>
      <w:r w:rsidR="002F4147">
        <w:rPr>
          <w:rStyle w:val="a6"/>
          <w:rFonts w:ascii="Times New Roman" w:hAnsi="Times New Roman" w:cs="Times New Roman"/>
          <w:szCs w:val="28"/>
        </w:rPr>
        <w:t xml:space="preserve"> срока, установленного ТПГГ НСО.</w:t>
      </w:r>
    </w:p>
    <w:p w:rsidR="00A751B8" w:rsidRPr="00A45AF4" w:rsidRDefault="00A45AF4" w:rsidP="007E33C3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5AF4">
        <w:rPr>
          <w:rStyle w:val="a6"/>
          <w:rFonts w:ascii="Times New Roman" w:hAnsi="Times New Roman" w:cs="Times New Roman"/>
          <w:szCs w:val="28"/>
        </w:rPr>
        <w:t xml:space="preserve">9) </w:t>
      </w:r>
      <w:r w:rsidRPr="00A45AF4">
        <w:rPr>
          <w:rFonts w:ascii="Times New Roman" w:hAnsi="Times New Roman" w:cs="Times New Roman"/>
          <w:sz w:val="28"/>
          <w:szCs w:val="28"/>
        </w:rPr>
        <w:t>При выявлении показаний для проведения лазерфотокоагуляции глазного дна пациент с сахарным диабетом направляется в кабинет «Диабетической ретинопатии» МЭЦ на базе ГБУЗ НСО «ГКБ №1» или РЭЦ на базе ГБУЗ НСО «ГНОКБ» с соблюдением срока, установленного ТПГГ НСО, в соответствии с маршрутизацией б</w:t>
      </w:r>
      <w:r w:rsidRPr="00A45AF4">
        <w:rPr>
          <w:rStyle w:val="a6"/>
          <w:rFonts w:ascii="Times New Roman" w:hAnsi="Times New Roman" w:cs="Times New Roman"/>
          <w:szCs w:val="28"/>
        </w:rPr>
        <w:t>ольных сахарным диабетом (18 лет и старше) при оказании плановой специализированной медицинской помощи на территории Новосибир</w:t>
      </w:r>
      <w:r w:rsidR="002F4147">
        <w:rPr>
          <w:rStyle w:val="a6"/>
          <w:rFonts w:ascii="Times New Roman" w:hAnsi="Times New Roman" w:cs="Times New Roman"/>
          <w:szCs w:val="28"/>
        </w:rPr>
        <w:t>ской области настоящего приказа.</w:t>
      </w:r>
    </w:p>
    <w:p w:rsidR="00A751B8" w:rsidRPr="00A45AF4" w:rsidRDefault="00A45AF4" w:rsidP="007E33C3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45AF4">
        <w:rPr>
          <w:rStyle w:val="a6"/>
          <w:rFonts w:ascii="Times New Roman" w:hAnsi="Times New Roman" w:cs="Times New Roman"/>
          <w:szCs w:val="28"/>
        </w:rPr>
        <w:t xml:space="preserve">10) При выявлении показаний для проведения витреоретинальной хирургии, пациент с сахарным диабетом направляется в кабинет «Диабетической ретинопатии» РЭЦ на базе ГБУЗ НСО «ГНОКБ» с соблюдением </w:t>
      </w:r>
      <w:r w:rsidR="002F4147">
        <w:rPr>
          <w:rStyle w:val="a6"/>
          <w:rFonts w:ascii="Times New Roman" w:hAnsi="Times New Roman" w:cs="Times New Roman"/>
          <w:szCs w:val="28"/>
        </w:rPr>
        <w:t xml:space="preserve">срока, установленного ТПГГ НСО </w:t>
      </w:r>
      <w:r w:rsidRPr="00A45AF4">
        <w:rPr>
          <w:rStyle w:val="a6"/>
          <w:rFonts w:ascii="Times New Roman" w:hAnsi="Times New Roman" w:cs="Times New Roman"/>
          <w:szCs w:val="28"/>
        </w:rPr>
        <w:t>в соответствии с маршрутизацией больных сахарным диабетом (18 лет и старше) при оказании плановой специализированной медицинской помощи на территории Новосибир</w:t>
      </w:r>
      <w:r w:rsidR="002F4147">
        <w:rPr>
          <w:rStyle w:val="a6"/>
          <w:rFonts w:ascii="Times New Roman" w:hAnsi="Times New Roman" w:cs="Times New Roman"/>
          <w:szCs w:val="28"/>
        </w:rPr>
        <w:t>ской области настоящего приказа.</w:t>
      </w:r>
    </w:p>
    <w:p w:rsidR="00A751B8" w:rsidRPr="00A45AF4" w:rsidRDefault="00A45AF4" w:rsidP="007E33C3">
      <w:pPr>
        <w:pStyle w:val="af5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szCs w:val="28"/>
        </w:rPr>
      </w:pPr>
      <w:r w:rsidRPr="00A45AF4">
        <w:rPr>
          <w:rStyle w:val="a6"/>
          <w:rFonts w:ascii="Times New Roman" w:hAnsi="Times New Roman" w:cs="Times New Roman"/>
          <w:szCs w:val="28"/>
        </w:rPr>
        <w:t xml:space="preserve">11) Кратность осмотра пациента с сахарным диабетом врачом-офтальмологом осуществляется не реже 1 раза в год, при выявлении </w:t>
      </w:r>
      <w:r w:rsidRPr="00A45AF4">
        <w:rPr>
          <w:rStyle w:val="a6"/>
          <w:rFonts w:ascii="Times New Roman" w:hAnsi="Times New Roman" w:cs="Times New Roman"/>
          <w:szCs w:val="28"/>
        </w:rPr>
        <w:lastRenderedPageBreak/>
        <w:t>препролиферативной диабетической ретинопатии 1 раз в 6 месяцев, при выявлении пролиферативной диабетической ретинопатии, макулярного отека 1 раз в 3 месяца.</w:t>
      </w:r>
    </w:p>
    <w:p w:rsidR="00A751B8" w:rsidRPr="00A45AF4" w:rsidRDefault="00A45AF4" w:rsidP="007E33C3">
      <w:pPr>
        <w:pStyle w:val="af5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szCs w:val="28"/>
        </w:rPr>
      </w:pPr>
      <w:r w:rsidRPr="00A45AF4">
        <w:rPr>
          <w:rStyle w:val="a6"/>
          <w:rFonts w:ascii="Times New Roman" w:hAnsi="Times New Roman" w:cs="Times New Roman"/>
          <w:szCs w:val="28"/>
        </w:rPr>
        <w:t>12) При выявлении у пациента синдрома множественных эндокринных неоплазий, заболеваний с нарушением формирования пола, акромегалии, узлового зоба, аденомы паращитовидных желез, аденомы надпочечника диспансерное наблюдение осуществляется врачом-</w:t>
      </w:r>
      <w:r w:rsidR="002F4147">
        <w:rPr>
          <w:rStyle w:val="a6"/>
          <w:rFonts w:ascii="Times New Roman" w:hAnsi="Times New Roman" w:cs="Times New Roman"/>
          <w:szCs w:val="28"/>
        </w:rPr>
        <w:t xml:space="preserve">эндокринологом, а при его </w:t>
      </w:r>
      <w:r w:rsidRPr="00A45AF4">
        <w:rPr>
          <w:rStyle w:val="a6"/>
          <w:rFonts w:ascii="Times New Roman" w:hAnsi="Times New Roman" w:cs="Times New Roman"/>
          <w:szCs w:val="28"/>
        </w:rPr>
        <w:t>отсутствии врачом-терапевтом или врачом общей врачебной практики с обязательным направлением пациента в МЭЦ/РЭЦ в соответствии с действующей маршрутизацией на те</w:t>
      </w:r>
      <w:r w:rsidR="002F4147">
        <w:rPr>
          <w:rStyle w:val="a6"/>
          <w:rFonts w:ascii="Times New Roman" w:hAnsi="Times New Roman" w:cs="Times New Roman"/>
          <w:szCs w:val="28"/>
        </w:rPr>
        <w:t>рритории Новосибирской области через МИС НСО.</w:t>
      </w:r>
    </w:p>
    <w:p w:rsidR="00A751B8" w:rsidRDefault="00A45AF4" w:rsidP="00040E57">
      <w:pPr>
        <w:pStyle w:val="af5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szCs w:val="28"/>
        </w:rPr>
      </w:pPr>
      <w:r w:rsidRPr="00A45AF4">
        <w:rPr>
          <w:rStyle w:val="a6"/>
          <w:rFonts w:ascii="Times New Roman" w:hAnsi="Times New Roman" w:cs="Times New Roman"/>
          <w:szCs w:val="28"/>
        </w:rPr>
        <w:t>13) При наличии показаний для проведения сцинтиграфии или ОФЭТ/КТ щитовидной железы или паращитовидных желез запись на данные виды обследования осуществляют врачи-эндокринологи МЭЦ/РЭЦ через МИС НСО   после проведен</w:t>
      </w:r>
      <w:r w:rsidR="00040E57">
        <w:rPr>
          <w:rStyle w:val="a6"/>
          <w:rFonts w:ascii="Times New Roman" w:hAnsi="Times New Roman" w:cs="Times New Roman"/>
          <w:szCs w:val="28"/>
        </w:rPr>
        <w:t xml:space="preserve">ия очной </w:t>
      </w:r>
      <w:r w:rsidR="007E33C3">
        <w:rPr>
          <w:rStyle w:val="a6"/>
          <w:rFonts w:ascii="Times New Roman" w:hAnsi="Times New Roman" w:cs="Times New Roman"/>
          <w:szCs w:val="28"/>
        </w:rPr>
        <w:t>консультации пациента.</w:t>
      </w:r>
    </w:p>
    <w:p w:rsidR="00A751B8" w:rsidRPr="00040E57" w:rsidRDefault="00A751B8" w:rsidP="00040E57">
      <w:pPr>
        <w:tabs>
          <w:tab w:val="left" w:pos="2813"/>
        </w:tabs>
      </w:pPr>
    </w:p>
    <w:sectPr w:rsidR="00A751B8" w:rsidRPr="00040E57" w:rsidSect="00C15D4E">
      <w:headerReference w:type="default" r:id="rId8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5D" w:rsidRDefault="0034665D">
      <w:r>
        <w:separator/>
      </w:r>
    </w:p>
  </w:endnote>
  <w:endnote w:type="continuationSeparator" w:id="0">
    <w:p w:rsidR="0034665D" w:rsidRDefault="0034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5D" w:rsidRDefault="0034665D">
      <w:r>
        <w:separator/>
      </w:r>
    </w:p>
  </w:footnote>
  <w:footnote w:type="continuationSeparator" w:id="0">
    <w:p w:rsidR="0034665D" w:rsidRDefault="0034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623097"/>
      <w:docPartObj>
        <w:docPartGallery w:val="Page Numbers (Top of Page)"/>
        <w:docPartUnique/>
      </w:docPartObj>
    </w:sdtPr>
    <w:sdtEndPr/>
    <w:sdtContent>
      <w:p w:rsidR="00CD0F42" w:rsidRDefault="00CD0F42">
        <w:pPr>
          <w:pStyle w:val="af2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C15D4E"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  <w:p w:rsidR="00CD0F42" w:rsidRDefault="0034665D">
        <w:pPr>
          <w:pStyle w:val="af2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9F5"/>
    <w:multiLevelType w:val="multilevel"/>
    <w:tmpl w:val="236ADE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CF1490"/>
    <w:multiLevelType w:val="multilevel"/>
    <w:tmpl w:val="01DA77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D9C2A7C"/>
    <w:multiLevelType w:val="multilevel"/>
    <w:tmpl w:val="31A023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B8"/>
    <w:rsid w:val="00040E57"/>
    <w:rsid w:val="001417DF"/>
    <w:rsid w:val="001918AE"/>
    <w:rsid w:val="00280850"/>
    <w:rsid w:val="002F4147"/>
    <w:rsid w:val="00321212"/>
    <w:rsid w:val="00341711"/>
    <w:rsid w:val="0034665D"/>
    <w:rsid w:val="00351124"/>
    <w:rsid w:val="00384E57"/>
    <w:rsid w:val="003A7222"/>
    <w:rsid w:val="003F5D92"/>
    <w:rsid w:val="00473C7A"/>
    <w:rsid w:val="0048075F"/>
    <w:rsid w:val="00522B10"/>
    <w:rsid w:val="00523E09"/>
    <w:rsid w:val="0061391B"/>
    <w:rsid w:val="006B1BBD"/>
    <w:rsid w:val="0073375A"/>
    <w:rsid w:val="007746DC"/>
    <w:rsid w:val="00797A74"/>
    <w:rsid w:val="007E33C3"/>
    <w:rsid w:val="00960B67"/>
    <w:rsid w:val="00996F0B"/>
    <w:rsid w:val="00A45AF4"/>
    <w:rsid w:val="00A751B8"/>
    <w:rsid w:val="00AA0DC7"/>
    <w:rsid w:val="00B349E7"/>
    <w:rsid w:val="00B71A46"/>
    <w:rsid w:val="00C15D4E"/>
    <w:rsid w:val="00C36FA9"/>
    <w:rsid w:val="00C70DC9"/>
    <w:rsid w:val="00C71446"/>
    <w:rsid w:val="00C806DA"/>
    <w:rsid w:val="00CB30AC"/>
    <w:rsid w:val="00CD0F42"/>
    <w:rsid w:val="00CE2971"/>
    <w:rsid w:val="00E644D9"/>
    <w:rsid w:val="00E96D8A"/>
    <w:rsid w:val="00EB3029"/>
    <w:rsid w:val="00EF10C8"/>
    <w:rsid w:val="00F126FE"/>
    <w:rsid w:val="00F65CF1"/>
    <w:rsid w:val="00F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7C654-69D5-4DC9-A10D-C317CEF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jc w:val="both"/>
      <w:textAlignment w:val="baseline"/>
      <w:outlineLvl w:val="5"/>
    </w:pPr>
    <w:rPr>
      <w:b/>
      <w:bCs/>
      <w:sz w:val="28"/>
      <w:szCs w:val="28"/>
      <w:lang w:eastAsia="ru-RU" w:bidi="he-IL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qFormat/>
    <w:pPr>
      <w:keepNext/>
      <w:textAlignment w:val="baseline"/>
      <w:outlineLvl w:val="7"/>
    </w:pPr>
    <w:rPr>
      <w:sz w:val="26"/>
      <w:szCs w:val="2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sz w:val="28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Andale Sans UI" w:cs="Tahoma"/>
      <w:kern w:val="2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eastAsia="Calibri" w:cs="F"/>
      <w:b/>
      <w:bCs/>
      <w:kern w:val="2"/>
      <w:sz w:val="24"/>
      <w:szCs w:val="28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sz w:val="28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 w:val="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hAnsi="Times New Roman" w:cs="Times New Roman"/>
      <w:b w:val="0"/>
      <w:i w:val="0"/>
      <w:color w:val="auto"/>
      <w:sz w:val="28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 w:val="0"/>
      <w:i w:val="0"/>
      <w:sz w:val="28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11">
    <w:name w:val="Знак примечания1"/>
    <w:qFormat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qFormat/>
    <w:rPr>
      <w:sz w:val="28"/>
      <w:szCs w:val="32"/>
    </w:rPr>
  </w:style>
  <w:style w:type="character" w:customStyle="1" w:styleId="FontStyle24">
    <w:name w:val="Font Style24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description3">
    <w:name w:val="description3"/>
    <w:qFormat/>
    <w:rPr>
      <w:color w:val="787878"/>
      <w:sz w:val="23"/>
      <w:szCs w:val="23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№2_"/>
    <w:qFormat/>
    <w:rPr>
      <w:spacing w:val="10"/>
      <w:shd w:val="clear" w:color="auto" w:fill="FFFFFF"/>
    </w:rPr>
  </w:style>
  <w:style w:type="character" w:customStyle="1" w:styleId="a6">
    <w:name w:val="Основной текст Знак"/>
    <w:qFormat/>
    <w:rPr>
      <w:sz w:val="28"/>
      <w:szCs w:val="24"/>
    </w:rPr>
  </w:style>
  <w:style w:type="character" w:styleId="a7">
    <w:name w:val="annotation reference"/>
    <w:uiPriority w:val="99"/>
    <w:semiHidden/>
    <w:unhideWhenUsed/>
    <w:qFormat/>
    <w:rsid w:val="00F92D2C"/>
    <w:rPr>
      <w:sz w:val="16"/>
      <w:szCs w:val="16"/>
    </w:rPr>
  </w:style>
  <w:style w:type="character" w:customStyle="1" w:styleId="a8">
    <w:name w:val="Текст примечания Знак"/>
    <w:uiPriority w:val="99"/>
    <w:semiHidden/>
    <w:qFormat/>
    <w:rsid w:val="00F92D2C"/>
    <w:rPr>
      <w:lang w:eastAsia="zh-CN"/>
    </w:rPr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pPr>
      <w:jc w:val="right"/>
    </w:pPr>
    <w:rPr>
      <w:sz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13">
    <w:name w:val="Заголовок1"/>
    <w:basedOn w:val="a"/>
    <w:next w:val="a9"/>
    <w:qFormat/>
    <w:pPr>
      <w:ind w:right="27"/>
      <w:jc w:val="center"/>
    </w:pPr>
    <w:rPr>
      <w:b/>
      <w:sz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footer"/>
    <w:basedOn w:val="a"/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styleId="af0">
    <w:name w:val="annotation subject"/>
    <w:basedOn w:val="15"/>
    <w:next w:val="15"/>
    <w:qFormat/>
    <w:rPr>
      <w:b/>
      <w:bCs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</w:style>
  <w:style w:type="paragraph" w:styleId="af3">
    <w:name w:val="Subtitle"/>
    <w:basedOn w:val="a"/>
    <w:next w:val="a9"/>
    <w:qFormat/>
    <w:pPr>
      <w:ind w:right="27"/>
      <w:jc w:val="center"/>
    </w:pPr>
    <w:rPr>
      <w:b/>
      <w:sz w:val="28"/>
    </w:rPr>
  </w:style>
  <w:style w:type="paragraph" w:styleId="af4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qFormat/>
    <w:pPr>
      <w:keepNext/>
      <w:jc w:val="center"/>
    </w:pPr>
    <w:rPr>
      <w:sz w:val="28"/>
      <w:szCs w:val="28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qFormat/>
    <w:pPr>
      <w:suppressAutoHyphens/>
      <w:spacing w:before="100" w:after="100"/>
    </w:pPr>
    <w:rPr>
      <w:sz w:val="24"/>
      <w:lang w:eastAsia="zh-CN"/>
    </w:rPr>
  </w:style>
  <w:style w:type="paragraph" w:customStyle="1" w:styleId="17">
    <w:name w:val="Знак1"/>
    <w:basedOn w:val="a"/>
    <w:qFormat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qFormat/>
    <w:pPr>
      <w:spacing w:before="280" w:after="280"/>
    </w:pPr>
  </w:style>
  <w:style w:type="paragraph" w:styleId="af7">
    <w:name w:val="Normal (Web)"/>
    <w:basedOn w:val="a"/>
    <w:qFormat/>
    <w:pPr>
      <w:spacing w:before="280" w:after="280"/>
    </w:pPr>
  </w:style>
  <w:style w:type="paragraph" w:customStyle="1" w:styleId="s4-wptoptable1">
    <w:name w:val="s4-wptoptable1"/>
    <w:basedOn w:val="a"/>
    <w:qFormat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qFormat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annotation text"/>
    <w:basedOn w:val="a"/>
    <w:uiPriority w:val="99"/>
    <w:semiHidden/>
    <w:unhideWhenUsed/>
    <w:qFormat/>
    <w:rsid w:val="00F92D2C"/>
    <w:rPr>
      <w:sz w:val="20"/>
      <w:szCs w:val="20"/>
    </w:rPr>
  </w:style>
  <w:style w:type="paragraph" w:styleId="afb">
    <w:name w:val="Revision"/>
    <w:uiPriority w:val="99"/>
    <w:semiHidden/>
    <w:qFormat/>
    <w:rsid w:val="00577A70"/>
    <w:rPr>
      <w:sz w:val="24"/>
      <w:szCs w:val="24"/>
      <w:lang w:eastAsia="zh-CN"/>
    </w:rPr>
  </w:style>
  <w:style w:type="table" w:styleId="afc">
    <w:name w:val="Table Grid"/>
    <w:basedOn w:val="a1"/>
    <w:rsid w:val="00F7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C6B5-791C-48C2-8498-5A2F2CEF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>GNOKB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Жданович Ярославна Владимировна</cp:lastModifiedBy>
  <cp:revision>22</cp:revision>
  <cp:lastPrinted>2025-08-08T10:39:00Z</cp:lastPrinted>
  <dcterms:created xsi:type="dcterms:W3CDTF">2025-08-08T05:53:00Z</dcterms:created>
  <dcterms:modified xsi:type="dcterms:W3CDTF">2025-08-18T02:32:00Z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