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666750"/>
                <wp:effectExtent l="0" t="0" r="0" b="0"/>
                <wp:docPr id="1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7"/>
        <w:keepNext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_________                                                                                     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 внесении изменений в приказ министерства здравоохранения Новосибирской области от 26</w:t>
      </w:r>
      <w:r>
        <w:rPr>
          <w:b/>
          <w:sz w:val="28"/>
          <w:szCs w:val="28"/>
        </w:rPr>
        <w:t xml:space="preserve">.12.2019</w:t>
      </w:r>
      <w:r>
        <w:rPr>
          <w:b/>
          <w:sz w:val="28"/>
          <w:szCs w:val="28"/>
        </w:rPr>
        <w:t xml:space="preserve"> № 4145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 р и к а з ы в а ю</w:t>
      </w:r>
      <w:r>
        <w:rPr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от 26</w:t>
      </w:r>
      <w:r>
        <w:rPr>
          <w:sz w:val="28"/>
          <w:szCs w:val="28"/>
        </w:rPr>
        <w:t xml:space="preserve">.12.2019</w:t>
      </w:r>
      <w:r>
        <w:rPr>
          <w:sz w:val="28"/>
          <w:szCs w:val="28"/>
        </w:rPr>
        <w:t xml:space="preserve"> № 4145 «Об организации катамнестического наблюдения за детьми, рожденными раньше срока, перенесшими критические состояния в периоде новорожденности</w:t>
      </w:r>
      <w:r>
        <w:rPr>
          <w:sz w:val="28"/>
          <w:szCs w:val="28"/>
        </w:rPr>
        <w:t xml:space="preserve">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В пункте 4 слова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Гусеву М.В.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Хмелеву</w:t>
      </w:r>
      <w:r>
        <w:rPr>
          <w:sz w:val="28"/>
          <w:szCs w:val="28"/>
          <w:highlight w:val="none"/>
        </w:rPr>
        <w:t xml:space="preserve"> М.О.»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В пункте 5 слова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Лиханова А.В.</w:t>
      </w:r>
      <w:r>
        <w:rPr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Анохину Т.Ю.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 порядке организации катамнестического наблюдения за детьми, рожденными раньше срока, перенесшими критические состояния в периоде новорожденности </w:t>
      </w:r>
      <w:r>
        <w:rPr>
          <w:sz w:val="28"/>
          <w:szCs w:val="28"/>
          <w:highlight w:val="none"/>
        </w:rPr>
        <w:t xml:space="preserve">п</w:t>
      </w:r>
      <w:r/>
      <w:r>
        <w:rPr>
          <w:sz w:val="28"/>
          <w:szCs w:val="28"/>
          <w:highlight w:val="none"/>
        </w:rPr>
        <w:t xml:space="preserve">ункты 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</w:t>
      </w:r>
      <w:r>
        <w:rPr>
          <w:sz w:val="28"/>
          <w:szCs w:val="28"/>
          <w:highlight w:val="none"/>
        </w:rPr>
        <w:t xml:space="preserve">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«7. </w:t>
      </w:r>
      <w:r>
        <w:rPr>
          <w:sz w:val="28"/>
          <w:szCs w:val="28"/>
          <w:highlight w:val="none"/>
        </w:rPr>
        <w:t xml:space="preserve">Врач-педиатр, осуществляющий катамнестическое наблюдение: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1) осуществляет (при необходимости) коррекцию плана диспансерного наблюдения, разработанного врачом-педиатром участковым;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2) определяет индивидуальную программу диспансерного наблюдения;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3) организует комплексную оценку состояния здоровья с привлечением врачей-специалистов (невролог, хирург, кардиолог, офтальмолог, пульмонолог и другие специалисты по профилю патологии);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4) определяет объем дополнительного обследования (лабораторного, инструментального) и организует его проведение;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) проводит наблюдение за динамикой параметров физического развития, нутритивным статусом и развитием (с использованием положений в соответствии с Программой оптимизации вскармливания детей первого года жизни на территории Российской Федерации, 2019 г. - Ме</w:t>
      </w:r>
      <w:r>
        <w:rPr>
          <w:sz w:val="28"/>
          <w:szCs w:val="28"/>
          <w:highlight w:val="none"/>
        </w:rPr>
        <w:t xml:space="preserve">тодические указания МЗ РФ);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6) осуществляет комплексную оценку состояния здоровья пациента (заключение по осмотру) по органам и системам с учетом результатов дополнительного обследования;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7) дает рекомендации по дальнейшему диспансерному наблюдению, вакцинопрофилактике, питанию, коррекции лечения хронических заболеваний, профилактике дефицитных состояний;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8) при наличии показаний организует мероприятия по профилактике респираторно-синцитиальной инфекции гуманизированными моноклональными антителами (Паливизумаб);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9) согласовывает план консультативного осмотра профильных специалистов для каждого пациента, согласно основному диагнозу, сопутствующей патологии;</w:t>
      </w:r>
      <w:r/>
    </w:p>
    <w:p>
      <w:pPr>
        <w:contextualSpacing/>
        <w:ind w:firstLine="709"/>
        <w:jc w:val="both"/>
      </w:pPr>
      <w:r>
        <w:rPr>
          <w:sz w:val="28"/>
          <w:szCs w:val="28"/>
          <w:highlight w:val="none"/>
        </w:rPr>
        <w:t xml:space="preserve">10) при необходимости дает рекомендации в медицинскую организацию (районному педиатру) по месту жительства о взаимодействии с органами опеки и попечительства, отделением реабилитации, паллиативной службой;</w:t>
      </w:r>
      <w:r/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11) определяет показания и сроки к повторной госпитализации в профильные отделения детских стационаров.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необходимости решения междисциплинарных вопросов врач-педиатр, осуществляющий катамнестическое наблюдение, организует консилиум по профилю обсуждаемого вопроса, при необходимости, с привлечением главного специалиста по профилю патологии.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 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[МЕСТО ДЛЯ ПОДПИСИ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]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Р.М. Заблоцкий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О.Ю. Дудина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jc w:val="both"/>
        <w:rPr>
          <w:sz w:val="28"/>
          <w:szCs w:val="28"/>
          <w:highlight w:val="none"/>
        </w:rPr>
      </w:pPr>
      <w:r>
        <w:rPr>
          <w:sz w:val="20"/>
          <w:szCs w:val="20"/>
        </w:rPr>
        <w:t xml:space="preserve">238 63 26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4"/>
    <w:next w:val="874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5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4"/>
    <w:next w:val="874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5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4"/>
    <w:next w:val="874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5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4"/>
    <w:next w:val="874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4"/>
    <w:next w:val="874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4"/>
    <w:uiPriority w:val="34"/>
    <w:qFormat/>
    <w:pPr>
      <w:contextualSpacing/>
      <w:ind w:left="720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5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5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5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5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lastModifiedBy>beloav</cp:lastModifiedBy>
  <cp:revision>19</cp:revision>
  <dcterms:created xsi:type="dcterms:W3CDTF">2024-11-20T03:39:00Z</dcterms:created>
  <dcterms:modified xsi:type="dcterms:W3CDTF">2026-01-29T07:01:14Z</dcterms:modified>
</cp:coreProperties>
</file>