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sz w:val="18"/>
          <w:szCs w:val="27"/>
        </w:rPr>
      </w:pPr>
      <w:r>
        <w:rPr>
          <w:sz w:val="18"/>
          <w:szCs w:val="27"/>
        </w:rPr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5"/>
        <w:gridCol w:w="3969"/>
      </w:tblGrid>
      <w:tr>
        <w:trPr/>
        <w:tc>
          <w:tcPr>
            <w:tcW w:w="11165" w:type="dxa"/>
            <w:tcBorders/>
          </w:tcPr>
          <w:p>
            <w:pPr>
              <w:pStyle w:val="BodyText"/>
              <w:widowControl w:val="false"/>
              <w:autoSpaceDE w:val="false"/>
              <w:snapToGrid w:val="false"/>
              <w:spacing w:before="0" w:after="14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969" w:type="dxa"/>
            <w:tcBorders/>
          </w:tcPr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УТВЕРЖДЕНЫ</w:t>
            </w:r>
          </w:p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приказом министерства</w:t>
            </w:r>
          </w:p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здравоохранения</w:t>
            </w:r>
          </w:p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Новосибирской области</w:t>
            </w:r>
          </w:p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ЦЕЛЕВЫЕ ПОКАЗАТЕЛИ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деятельности центров здоровья для взрослых в рамках исполнения задач регионального сегмента федерального проекта «Здоровье для каждого» национального проекта «Продолжительная и активная жизнь</w:t>
      </w:r>
      <w:r>
        <w:rPr>
          <w:sz w:val="27"/>
          <w:szCs w:val="27"/>
          <w:shd w:fill="auto" w:val="clear"/>
        </w:rPr>
        <w:t>» на 2026 год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1548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002"/>
        <w:gridCol w:w="2127"/>
        <w:gridCol w:w="1842"/>
        <w:gridCol w:w="2127"/>
        <w:gridCol w:w="4536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7"/>
                <w:szCs w:val="27"/>
                <w:shd w:fill="auto" w:val="clear"/>
              </w:rPr>
              <w:t xml:space="preserve">№ </w:t>
            </w:r>
            <w:r>
              <w:rPr>
                <w:sz w:val="27"/>
                <w:szCs w:val="27"/>
                <w:shd w:fill="auto" w:val="clear"/>
              </w:rPr>
              <w:t>п/п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Показатель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Целевое значение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Периодичность оценки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Методика расчета показателя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1.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Выполнение плана-графика оказания медицинской помощи пациентам с факторами риска развития хронических неинфекционных заболеваний в центре здоровья для взрослых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ежемесячно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фактическое количество пациентов с факторами риска, которым проведено обследование и углубленное профилактическое консультирование (индивидуальное или групповое)*100%/ плановое значение годовое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2.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Организовано диспансерное наблюдение за гражданами с факторами риска развития неинфекционных заболеваний с формированием индивидуальных программ по ведению здорового образа жизни, в том числе с использованием выездных методов работы</w:t>
            </w:r>
          </w:p>
          <w:p>
            <w:pPr>
              <w:pStyle w:val="Normal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100,0%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ежемесячно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фактическое количество пациентов с факторами риска, которым проведено обследование и углубленное профилактическое консультирование (индивидуальное или групповое)*100%/ плановое значение годовое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3.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 xml:space="preserve">Организовано обследование работающих граждан центрами здоровья для взрослых на рабочем месте, а также диспансерное наблюдение на рабочем месте лиц с выявленными рисками развития заболеваний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100,0%</w:t>
            </w:r>
          </w:p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ежемесячно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фактическое количество пациентов с факторами риска, которым проведено обследование и углубленное профилактическое консультирование (индивидуальное или групповое)*100%/ плановое значение годовое</w:t>
            </w:r>
          </w:p>
        </w:tc>
      </w:tr>
    </w:tbl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/>
      </w:pPr>
      <w:r>
        <w:rPr/>
        <w:t>_________</w:t>
      </w:r>
    </w:p>
    <w:sectPr>
      <w:type w:val="nextPage"/>
      <w:pgSz w:orient="landscape" w:w="16838" w:h="11906"/>
      <w:pgMar w:left="1134" w:right="1134" w:gutter="0" w:header="0" w:top="992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93" w:left="0" w:right="0"/>
      <w:jc w:val="both"/>
      <w:outlineLvl w:val="0"/>
    </w:pPr>
    <w:rPr>
      <w:sz w:val="28"/>
      <w:szCs w:val="28"/>
      <w:lang w:val="ru-RU"/>
    </w:rPr>
  </w:style>
  <w:style w:type="character" w:styleId="Style13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WW8Num2z0">
    <w:name w:val="WW8Num2z0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1">
    <w:name w:val="Основной шрифт абзаца1"/>
    <w:qFormat/>
    <w:rPr/>
  </w:style>
  <w:style w:type="character" w:styleId="Style14">
    <w:name w:val="Подзаголовок Знак"/>
    <w:qFormat/>
    <w:rPr>
      <w:rFonts w:ascii="Times New Roman" w:hAnsi="Times New Roman" w:eastAsia="Times New Roman" w:cs="Times New Roman"/>
      <w:b/>
      <w:sz w:val="28"/>
      <w:szCs w:val="24"/>
    </w:rPr>
  </w:style>
  <w:style w:type="character" w:styleId="Style15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Hyperlink">
    <w:name w:val="Hyperlink"/>
    <w:rPr>
      <w:color w:val="0000FF"/>
      <w:u w:val="single"/>
    </w:rPr>
  </w:style>
  <w:style w:type="character" w:styleId="allowtextselection">
    <w:name w:val="allowtextselection"/>
    <w:qFormat/>
    <w:rPr/>
  </w:style>
  <w:style w:type="character" w:styleId="Style17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8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Style20">
    <w:name w:val="Тема примечания Знак"/>
    <w:qFormat/>
    <w:rPr>
      <w:rFonts w:ascii="Times New Roman" w:hAnsi="Times New Roman" w:eastAsia="Times New Roman" w:cs="Times New Roman"/>
      <w:b/>
      <w:bCs/>
    </w:rPr>
  </w:style>
  <w:style w:type="character" w:styleId="Style21">
    <w:name w:val="Основной текст Знак"/>
    <w:qFormat/>
    <w:rPr>
      <w:sz w:val="24"/>
      <w:szCs w:val="24"/>
      <w:lang w:eastAsia="zh-CN"/>
    </w:rPr>
  </w:style>
  <w:style w:type="character" w:styleId="Style22">
    <w:name w:val="Колонтитул_"/>
    <w:qFormat/>
    <w:rPr>
      <w:shd w:fill="FFFFFF" w:val="clear"/>
    </w:rPr>
  </w:style>
  <w:style w:type="character" w:styleId="Style23">
    <w:name w:val="Колонтитул + Полужирный"/>
    <w:qFormat/>
    <w:rPr>
      <w:b/>
      <w:bCs/>
      <w:spacing w:val="0"/>
      <w:shd w:fill="FFFFFF" w:val="clear"/>
    </w:rPr>
  </w:style>
  <w:style w:type="character" w:styleId="111">
    <w:name w:val="Колонтитул + 11"/>
    <w:qFormat/>
    <w:rPr>
      <w:spacing w:val="0"/>
      <w:sz w:val="23"/>
      <w:szCs w:val="23"/>
      <w:shd w:fill="FFFFFF" w:val="clear"/>
    </w:rPr>
  </w:style>
  <w:style w:type="paragraph" w:styleId="Style24">
    <w:name w:val="Заголовок"/>
    <w:basedOn w:val="Normal"/>
    <w:next w:val="BodyText"/>
    <w:qFormat/>
    <w:pPr>
      <w:ind w:hanging="0" w:left="0" w:right="27"/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;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Noto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Noto Sans;Arial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Noto Sans;Arial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Noto Sans;Arial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Subtitle">
    <w:name w:val="Subtitle"/>
    <w:basedOn w:val="Normal"/>
    <w:next w:val="BodyText"/>
    <w:qFormat/>
    <w:pPr>
      <w:ind w:hanging="0" w:left="0" w:right="27"/>
      <w:jc w:val="center"/>
    </w:pPr>
    <w:rPr>
      <w:b/>
      <w:sz w:val="28"/>
      <w:lang w:val="ru-RU"/>
    </w:rPr>
  </w:style>
  <w:style w:type="paragraph" w:styleId="15">
    <w:name w:val="Обычный1"/>
    <w:qFormat/>
    <w:pPr>
      <w:widowControl/>
      <w:suppressAutoHyphens w:val="true"/>
      <w:bidi w:val="0"/>
      <w:spacing w:before="100" w:after="10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Style30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6">
    <w:name w:val="Текст примечания1"/>
    <w:basedOn w:val="Normal"/>
    <w:qFormat/>
    <w:pPr/>
    <w:rPr>
      <w:sz w:val="20"/>
      <w:szCs w:val="20"/>
    </w:rPr>
  </w:style>
  <w:style w:type="paragraph" w:styleId="Style31">
    <w:name w:val="Тема примечания"/>
    <w:basedOn w:val="16"/>
    <w:next w:val="16"/>
    <w:qFormat/>
    <w:pPr/>
    <w:rPr>
      <w:b/>
      <w:bCs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23">
    <w:name w:val="Название2"/>
    <w:basedOn w:val="Normal"/>
    <w:qFormat/>
    <w:pPr>
      <w:suppressAutoHyphens w:val="false"/>
      <w:spacing w:lineRule="atLeast" w:line="288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4">
    <w:name w:val="Колонтитул"/>
    <w:basedOn w:val="Normal"/>
    <w:qFormat/>
    <w:pPr>
      <w:shd w:fill="FFFFFF" w:val="clear"/>
      <w:suppressAutoHyphens w:val="false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68</TotalTime>
  <Application>LibreOffice/24.8.7.2$Linux_X86_64 LibreOffice_project/480$Build-2</Application>
  <AppVersion>15.0000</AppVersion>
  <Pages>2</Pages>
  <Words>189</Words>
  <Characters>1471</Characters>
  <CharactersWithSpaces>1630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2025-11-10T12:27:00Z</dcterms:created>
  <dc:creator>IKochneva</dc:creator>
  <dc:description/>
  <dc:language>ru-RU</dc:language>
  <cp:lastModifiedBy/>
  <cp:lastPrinted>2026-02-12T16:24:00Z</cp:lastPrinted>
  <dcterms:modified xsi:type="dcterms:W3CDTF">2026-02-18T16:35:20Z</dcterms:modified>
  <cp:revision>10</cp:revision>
  <dc:subject/>
  <dc:title/>
</cp:coreProperties>
</file>