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1913"/>
        <w:gridCol w:w="1912"/>
        <w:gridCol w:w="1998"/>
        <w:gridCol w:w="1494"/>
        <w:gridCol w:w="484"/>
        <w:gridCol w:w="2264"/>
      </w:tblGrid>
      <w:tr>
        <w:tblPrEx/>
        <w:trPr>
          <w:trHeight w:val="1075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textDirection w:val="lrTb"/>
            <w:noWrap w:val="false"/>
          </w:tcPr>
          <w:p>
            <w:pPr>
              <w:pStyle w:val="1018"/>
              <w:jc w:val="center"/>
              <w:spacing w:before="0" w:after="0"/>
              <w:rPr>
                <w:sz w:val="2"/>
                <w:szCs w:val="2"/>
              </w:rPr>
            </w:pPr>
            <w:r/>
            <w:bookmarkStart w:id="0" w:name="_GoBack"/>
            <w:r/>
            <w:bookmarkEnd w:id="0"/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3560" cy="655320"/>
                      <wp:effectExtent l="0" t="0" r="0" b="0"/>
                      <wp:docPr id="1" name="_x0000_i0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1">
                                <a:extLs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543560" cy="655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2.80pt;height:51.60pt;mso-wrap-distance-left:0.00pt;mso-wrap-distance-top:0.00pt;mso-wrap-distance-right:0.00pt;mso-wrap-distance-bottom:0.00pt;" stroked="f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textDirection w:val="lrTb"/>
            <w:noWrap w:val="false"/>
          </w:tcPr>
          <w:p>
            <w:pPr>
              <w:pStyle w:val="1018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textDirection w:val="lrTb"/>
            <w:noWrap w:val="false"/>
          </w:tcPr>
          <w:p>
            <w:pPr>
              <w:pStyle w:val="1018"/>
              <w:ind w:left="-108"/>
              <w:jc w:val="center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ЗДРАВООХРАНЕНИЯ НОВОСИБИРСКОЙ ОБЛАСТИ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1018"/>
              <w:ind w:left="-108"/>
              <w:jc w:val="center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1018"/>
              <w:ind w:left="-108"/>
              <w:jc w:val="center"/>
              <w:spacing w:before="0"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МИНИСТЕРСТВО ОБРАЗОВАНИЯ НОВОСИБИРСКОЙ ОБЛАСТИ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13" w:type="dxa"/>
            <w:textDirection w:val="lrTb"/>
            <w:noWrap w:val="false"/>
          </w:tcPr>
          <w:p>
            <w:pPr>
              <w:pStyle w:val="1018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12" w:type="dxa"/>
            <w:textDirection w:val="lrTb"/>
            <w:noWrap w:val="false"/>
          </w:tcPr>
          <w:p>
            <w:pPr>
              <w:pStyle w:val="1018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98" w:type="dxa"/>
            <w:textDirection w:val="lrTb"/>
            <w:noWrap w:val="false"/>
          </w:tcPr>
          <w:p>
            <w:pPr>
              <w:pStyle w:val="1018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78" w:type="dxa"/>
            <w:textDirection w:val="lrTb"/>
            <w:noWrap w:val="false"/>
          </w:tcPr>
          <w:p>
            <w:pPr>
              <w:pStyle w:val="1018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64" w:type="dxa"/>
            <w:textDirection w:val="lrTb"/>
            <w:noWrap w:val="false"/>
          </w:tcPr>
          <w:p>
            <w:pPr>
              <w:pStyle w:val="1018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065" w:type="dxa"/>
            <w:textDirection w:val="lrTb"/>
            <w:noWrap w:val="false"/>
          </w:tcPr>
          <w:p>
            <w:pPr>
              <w:pStyle w:val="848"/>
              <w:ind w:right="0"/>
            </w:pPr>
            <w:r>
              <w:t xml:space="preserve">ПРИКАЗ</w:t>
            </w:r>
            <w:r/>
          </w:p>
        </w:tc>
      </w:tr>
      <w:tr>
        <w:tblPrEx/>
        <w:trPr/>
        <w:tc>
          <w:tcPr>
            <w:tcBorders>
              <w:bottom w:val="single" w:color="000000" w:sz="4" w:space="0"/>
            </w:tcBorders>
            <w:tcW w:w="1913" w:type="dxa"/>
            <w:textDirection w:val="lrTb"/>
            <w:noWrap w:val="false"/>
          </w:tcPr>
          <w:p>
            <w:pPr>
              <w:pStyle w:val="1018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pStyle w:val="1018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pStyle w:val="1018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1494" w:type="dxa"/>
            <w:textDirection w:val="lrTb"/>
            <w:noWrap w:val="false"/>
          </w:tcPr>
          <w:p>
            <w:pPr>
              <w:pStyle w:val="1018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84" w:type="dxa"/>
            <w:textDirection w:val="lrTb"/>
            <w:noWrap w:val="false"/>
          </w:tcPr>
          <w:p>
            <w:pPr>
              <w:pStyle w:val="1018"/>
              <w:jc w:val="both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bottom w:val="single" w:color="000000" w:sz="4" w:space="0"/>
            </w:tcBorders>
            <w:tcW w:w="2264" w:type="dxa"/>
            <w:textDirection w:val="lrTb"/>
            <w:noWrap w:val="false"/>
          </w:tcPr>
          <w:p>
            <w:pPr>
              <w:pStyle w:val="1018"/>
              <w:jc w:val="center"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</w:tcBorders>
            <w:tcW w:w="1913" w:type="dxa"/>
            <w:textDirection w:val="lrTb"/>
            <w:noWrap w:val="false"/>
          </w:tcPr>
          <w:p>
            <w:pPr>
              <w:pStyle w:val="1018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12" w:type="dxa"/>
            <w:textDirection w:val="lrTb"/>
            <w:noWrap w:val="false"/>
          </w:tcPr>
          <w:p>
            <w:pPr>
              <w:pStyle w:val="1018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998" w:type="dxa"/>
            <w:textDirection w:val="lrTb"/>
            <w:noWrap w:val="false"/>
          </w:tcPr>
          <w:p>
            <w:pPr>
              <w:pStyle w:val="1018"/>
              <w:jc w:val="center"/>
              <w:spacing w:before="0" w:after="0"/>
              <w:rPr>
                <w:szCs w:val="24"/>
              </w:rPr>
            </w:pPr>
            <w:r>
              <w:rPr>
                <w:szCs w:val="24"/>
              </w:rPr>
              <w:t xml:space="preserve">г. Новосибирск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gridSpan w:val="2"/>
            <w:tcW w:w="1978" w:type="dxa"/>
            <w:textDirection w:val="lrTb"/>
            <w:noWrap w:val="false"/>
          </w:tcPr>
          <w:p>
            <w:pPr>
              <w:pStyle w:val="1018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2264" w:type="dxa"/>
            <w:textDirection w:val="lrTb"/>
            <w:noWrap w:val="false"/>
          </w:tcPr>
          <w:p>
            <w:pPr>
              <w:pStyle w:val="1018"/>
              <w:jc w:val="both"/>
              <w:spacing w:before="0" w:after="0"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</w:tbl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утверждении алгоритма действий</w:t>
      </w:r>
      <w:r>
        <w:rPr>
          <w:b/>
          <w:sz w:val="28"/>
          <w:szCs w:val="28"/>
        </w:rPr>
        <w:t xml:space="preserve"> в случае отказа от проведения профилактического медицинского осмотра детей, </w:t>
      </w:r>
      <w:r>
        <w:rPr>
          <w:b/>
          <w:sz w:val="28"/>
          <w:szCs w:val="28"/>
        </w:rPr>
        <w:t xml:space="preserve">поступающих в образовательные организации (либо посещающие</w:t>
      </w:r>
      <w:r>
        <w:rPr>
          <w:b/>
          <w:sz w:val="28"/>
          <w:szCs w:val="28"/>
        </w:rPr>
        <w:t xml:space="preserve"> их), </w:t>
      </w:r>
      <w:r>
        <w:rPr>
          <w:b/>
          <w:sz w:val="28"/>
          <w:szCs w:val="28"/>
        </w:rPr>
        <w:t xml:space="preserve">с целью выявления туберкулезной инфекции методом иммунодиагностики </w:t>
      </w:r>
      <w:r>
        <w:rPr>
          <w:b/>
          <w:sz w:val="28"/>
          <w:szCs w:val="28"/>
        </w:rPr>
        <w:t xml:space="preserve">и любым другим методом объективного обследования на туберкулез </w:t>
      </w:r>
      <w:r>
        <w:rPr>
          <w:b/>
          <w:sz w:val="28"/>
          <w:szCs w:val="28"/>
        </w:rPr>
        <w:t xml:space="preserve">в поликлинике по месту жительства, прикрепления ребенка или в медицинском пункте образовательной организации</w:t>
      </w:r>
      <w:r>
        <w:rPr>
          <w:b/>
          <w:sz w:val="28"/>
          <w:szCs w:val="28"/>
        </w:rPr>
        <w:t xml:space="preserve"> на территории 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2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связи со сложившейся неблагоприятной санитарно-эпидемиологической обстановкой на территории Новосибирской области по заболеваемости туберкулезом среди детского населения региона и в целях сохранения санитарно-эпидемиологического благополучия по предупр</w:t>
      </w:r>
      <w:r>
        <w:rPr>
          <w:color w:val="000000"/>
          <w:sz w:val="28"/>
          <w:szCs w:val="28"/>
        </w:rPr>
        <w:t xml:space="preserve">еждению возникновения и распространения туберкулеза среди несовершеннолетних, а также методического сопровождения медицинских работников в организации оказания противотуберкулезной помощи детям в Новосибирской области в случае отказа родителей или иных зак</w:t>
      </w:r>
      <w:r>
        <w:rPr>
          <w:color w:val="000000"/>
          <w:sz w:val="28"/>
          <w:szCs w:val="28"/>
        </w:rPr>
        <w:t xml:space="preserve">онных представителей несовершеннолетних от иммунодиагностики туберкулезной инфекции или любого другого метода обследования на туберкулез в соответствии с </w:t>
      </w:r>
      <w:r>
        <w:rPr>
          <w:sz w:val="28"/>
          <w:szCs w:val="28"/>
        </w:rPr>
        <w:t xml:space="preserve">Федеральным законом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21.11.2011 № 323-ФЗ «Об основах охраны здоровья граждан в Российской Федерации</w:t>
      </w:r>
      <w:r>
        <w:rPr>
          <w:sz w:val="28"/>
          <w:szCs w:val="28"/>
        </w:rPr>
        <w:t xml:space="preserve">», </w:t>
      </w:r>
      <w:r>
        <w:rPr>
          <w:color w:val="000000"/>
          <w:sz w:val="28"/>
          <w:szCs w:val="28"/>
        </w:rPr>
        <w:t xml:space="preserve">Федеральным законом от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18.06.2001 № 77-ФЗ «О предупреждении распространения туберкулеза в Российской Федерации», </w:t>
      </w:r>
      <w:r>
        <w:rPr>
          <w:color w:val="000000"/>
          <w:sz w:val="28"/>
          <w:szCs w:val="28"/>
        </w:rPr>
        <w:t xml:space="preserve">Федеральным законом от</w:t>
      </w:r>
      <w:r>
        <w:rPr>
          <w:color w:val="000000"/>
          <w:sz w:val="28"/>
          <w:szCs w:val="28"/>
        </w:rPr>
        <w:t xml:space="preserve"> 30.03.1999</w:t>
      </w:r>
      <w:r>
        <w:rPr>
          <w:color w:val="000000"/>
          <w:sz w:val="28"/>
          <w:szCs w:val="28"/>
        </w:rPr>
        <w:t xml:space="preserve"> № 52-ФЗ «О санитарно-эпидемиологическом благополучии населения»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29.12.2012</w:t>
      </w:r>
      <w:r>
        <w:rPr>
          <w:sz w:val="28"/>
          <w:szCs w:val="28"/>
        </w:rPr>
        <w:t xml:space="preserve"> № 273-ФЗ «Об образовании в Российской Федерации»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24.06.1999 № 120-ФЗ «Об основах системы профилактики безнадзорности и правонарушений несовершеннолетних»</w:t>
      </w:r>
      <w:r>
        <w:rPr>
          <w:sz w:val="28"/>
          <w:szCs w:val="28"/>
        </w:rPr>
        <w:t xml:space="preserve">, п</w:t>
      </w:r>
      <w:r>
        <w:rPr>
          <w:sz w:val="28"/>
          <w:szCs w:val="28"/>
        </w:rPr>
        <w:t xml:space="preserve">риказом Министерства здравоохранения Российской Федерации от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11.04.2025 № 190н «Об утве</w:t>
      </w:r>
      <w:r>
        <w:rPr>
          <w:sz w:val="28"/>
          <w:szCs w:val="28"/>
        </w:rPr>
        <w:t xml:space="preserve">рждении порядка и сроков проведения профилактических медицинских осмотров граждан в целях выявления туберкулеза»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санитарными правилами и нормами </w:t>
      </w:r>
      <w:r>
        <w:rPr>
          <w:sz w:val="28"/>
          <w:szCs w:val="28"/>
        </w:rPr>
        <w:t xml:space="preserve">СанПиН</w:t>
      </w:r>
      <w:r>
        <w:rPr>
          <w:color w:val="000000"/>
          <w:sz w:val="28"/>
          <w:szCs w:val="28"/>
        </w:rPr>
        <w:t xml:space="preserve"> 3.3686-21 «Санитарно-эпидемиологические требования по профилактике инфекционных болезней», утвержденными</w:t>
      </w:r>
      <w:r>
        <w:rPr>
          <w:color w:val="000000"/>
          <w:sz w:val="28"/>
          <w:szCs w:val="28"/>
        </w:rPr>
        <w:t xml:space="preserve"> постановлением Главного государственного санитарного врача Российской Федерации от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28.01.2021 № 4 (далее - </w:t>
      </w:r>
      <w:r>
        <w:rPr>
          <w:sz w:val="28"/>
          <w:szCs w:val="28"/>
        </w:rPr>
        <w:t xml:space="preserve">СанПиН 3.3686-21</w:t>
      </w:r>
      <w:r>
        <w:rPr>
          <w:color w:val="000000"/>
          <w:sz w:val="28"/>
          <w:szCs w:val="28"/>
        </w:rPr>
        <w:t xml:space="preserve">), </w:t>
      </w:r>
      <w:r>
        <w:rPr>
          <w:sz w:val="28"/>
          <w:szCs w:val="28"/>
        </w:rPr>
        <w:t xml:space="preserve">методическими рекомендациями по совершенствованию диагностики и лечения туберкулеза органов дыхания, утвержденными приказом </w:t>
      </w:r>
      <w:r>
        <w:rPr>
          <w:color w:val="000000"/>
          <w:sz w:val="28"/>
          <w:szCs w:val="28"/>
        </w:rPr>
        <w:t xml:space="preserve">Мини</w:t>
      </w:r>
      <w:r>
        <w:rPr>
          <w:color w:val="000000"/>
          <w:sz w:val="28"/>
          <w:szCs w:val="28"/>
        </w:rPr>
        <w:t xml:space="preserve">стерства здравоохранения Российской Федерации </w:t>
      </w:r>
      <w:r>
        <w:rPr>
          <w:color w:val="000000"/>
          <w:sz w:val="28"/>
          <w:szCs w:val="28"/>
        </w:rPr>
        <w:t xml:space="preserve">от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29.12.2014 № 951, методическим руководством Министерства здравоохранения Российской Федерации 2018 года «Скрининговое обследование детей и подростков с целью выявления туберкулезной инфекции», </w:t>
      </w:r>
      <w:r>
        <w:rPr>
          <w:b/>
          <w:color w:val="000000"/>
          <w:sz w:val="28"/>
          <w:szCs w:val="28"/>
        </w:rPr>
        <w:t xml:space="preserve">п р и к а з ы</w:t>
      </w:r>
      <w:r>
        <w:rPr>
          <w:b/>
          <w:color w:val="000000"/>
          <w:sz w:val="28"/>
          <w:szCs w:val="28"/>
        </w:rPr>
        <w:t xml:space="preserve"> в а </w:t>
      </w:r>
      <w:r>
        <w:rPr>
          <w:b/>
          <w:color w:val="000000"/>
          <w:sz w:val="28"/>
          <w:szCs w:val="28"/>
        </w:rPr>
        <w:t xml:space="preserve">е м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Утвердить: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 алгоритм действий </w:t>
      </w:r>
      <w:r>
        <w:rPr>
          <w:sz w:val="28"/>
          <w:szCs w:val="28"/>
        </w:rPr>
        <w:t xml:space="preserve">в случае отказа от проведения профилактического медицинского осмотра детей</w:t>
      </w:r>
      <w:r>
        <w:rPr>
          <w:b/>
          <w:sz w:val="28"/>
          <w:szCs w:val="28"/>
        </w:rPr>
        <w:t xml:space="preserve">,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поступающих в образовательные организации (либо посещающие</w:t>
      </w:r>
      <w:r>
        <w:rPr>
          <w:b w:val="0"/>
          <w:bCs w:val="0"/>
          <w:sz w:val="28"/>
          <w:szCs w:val="28"/>
        </w:rPr>
        <w:t xml:space="preserve"> их),</w:t>
      </w:r>
      <w:r>
        <w:rPr>
          <w:sz w:val="28"/>
          <w:szCs w:val="28"/>
        </w:rPr>
        <w:t xml:space="preserve"> с целью выявления туберкулезной инфекции методом иммунодиагностики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и любым другим методом объективного обследования на туберкулез </w:t>
      </w:r>
      <w:r>
        <w:rPr>
          <w:sz w:val="28"/>
          <w:szCs w:val="28"/>
        </w:rPr>
        <w:t xml:space="preserve">в поликлинике по месту жительства, прикрепления ребенка или в медицинском пункте образовательной организации </w:t>
      </w:r>
      <w:r>
        <w:rPr>
          <w:color w:val="000000"/>
          <w:sz w:val="28"/>
          <w:szCs w:val="28"/>
        </w:rPr>
        <w:t xml:space="preserve">(далее - Алгоритм);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right="0" w:firstLine="709"/>
        <w:jc w:val="both"/>
        <w:widowControl w:val="off"/>
        <w:rPr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2) форму </w:t>
      </w:r>
      <w:r>
        <w:rPr>
          <w:sz w:val="28"/>
          <w:szCs w:val="28"/>
        </w:rPr>
        <w:t xml:space="preserve">добровольного информированного согласия/отказа от проведения профилактического медицинского осмотра ребенка с целью в</w:t>
      </w:r>
      <w:r>
        <w:rPr>
          <w:sz w:val="28"/>
          <w:szCs w:val="28"/>
        </w:rPr>
        <w:t xml:space="preserve">ыявления туберкулеза (иммунодиагностики на туберкулезную инфекцию);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1"/>
        <w:ind w:left="0" w:right="0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  <w:highlight w:val="none"/>
        </w:rPr>
        <w:t xml:space="preserve">3) </w:t>
      </w:r>
      <w:r>
        <w:rPr>
          <w:color w:val="000000"/>
          <w:sz w:val="28"/>
          <w:szCs w:val="28"/>
        </w:rPr>
        <w:t xml:space="preserve">форму </w:t>
      </w:r>
      <w:r>
        <w:rPr>
          <w:sz w:val="28"/>
          <w:szCs w:val="28"/>
        </w:rPr>
        <w:t xml:space="preserve">добровольного информированного согласия/отказа</w:t>
      </w:r>
      <w:r>
        <w:rPr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уведомление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медицинских мероприятиях посредством телефонного звонка,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SMS-сообщения, приложения Мах</w:t>
      </w:r>
      <w:r>
        <w:rPr>
          <w:sz w:val="28"/>
          <w:szCs w:val="28"/>
        </w:rPr>
        <w:t xml:space="preserve">;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50"/>
        <w:ind w:firstLine="709"/>
        <w:jc w:val="both"/>
        <w:spacing w:before="0" w:beforeAutospacing="0" w:after="0" w:afterAutospacing="0"/>
        <w:shd w:val="clear" w:color="ffffff" w:themeColor="background1" w:fill="ffffff" w:themeFill="background1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4) форму протокола заседания врачебной комиссии по рассмотрению вопроса отказа родителей или иных законных представителей, отказавшихся от проведения любых методов диагностики туберкулезно</w:t>
      </w:r>
      <w:r>
        <w:rPr>
          <w:sz w:val="28"/>
          <w:szCs w:val="28"/>
        </w:rPr>
        <w:t xml:space="preserve">й инфекции у ребенка;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050"/>
        <w:ind w:firstLine="709"/>
        <w:jc w:val="both"/>
        <w:spacing w:before="0" w:beforeAutospacing="0" w:after="0" w:afterAutospacing="0"/>
        <w:shd w:val="clear" w:color="ffffff" w:themeColor="background1" w:fill="ffffff" w:themeFill="background1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5) форму направления к врачу-фтизиатру;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6) форму уведомления об отстранении учащегося </w:t>
      </w:r>
      <w:r>
        <w:rPr>
          <w:color w:val="000000" w:themeColor="text1"/>
          <w:sz w:val="28"/>
          <w:szCs w:val="28"/>
          <w:highlight w:val="white"/>
        </w:rPr>
        <w:t xml:space="preserve">от посещения образовательной организации </w:t>
      </w:r>
      <w:r>
        <w:rPr>
          <w:sz w:val="28"/>
          <w:szCs w:val="28"/>
          <w:highlight w:val="white"/>
        </w:rPr>
        <w:t xml:space="preserve">при отказе родителей или иных законных</w:t>
      </w:r>
      <w:r>
        <w:rPr>
          <w:sz w:val="28"/>
          <w:szCs w:val="28"/>
        </w:rPr>
        <w:t xml:space="preserve"> представителей от любых методов обследования на туберкулезную инфекцию;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7) форму приказа об отстранении учащ</w:t>
      </w:r>
      <w:r>
        <w:rPr>
          <w:sz w:val="28"/>
          <w:szCs w:val="28"/>
        </w:rPr>
        <w:t xml:space="preserve">егося </w:t>
      </w:r>
      <w:r>
        <w:rPr>
          <w:color w:val="000000" w:themeColor="text1"/>
          <w:sz w:val="28"/>
          <w:szCs w:val="28"/>
          <w:highlight w:val="white"/>
        </w:rPr>
        <w:t xml:space="preserve">от посещения образовательной организации </w:t>
      </w:r>
      <w:r>
        <w:rPr>
          <w:sz w:val="28"/>
          <w:szCs w:val="28"/>
          <w:highlight w:val="white"/>
        </w:rPr>
        <w:t xml:space="preserve">при отказе родителей или иных законных</w:t>
      </w:r>
      <w:r>
        <w:rPr>
          <w:sz w:val="28"/>
          <w:szCs w:val="28"/>
        </w:rPr>
        <w:t xml:space="preserve"> представителей от любых методов обследования на туберкулезную инфекцию;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sz w:val="28"/>
          <w:szCs w:val="28"/>
          <w:highlight w:val="none"/>
        </w:rPr>
        <w:t xml:space="preserve">8) </w:t>
      </w:r>
      <w:r>
        <w:rPr>
          <w:color w:val="000000" w:themeColor="text1"/>
          <w:sz w:val="28"/>
          <w:szCs w:val="28"/>
        </w:rPr>
        <w:t xml:space="preserve">форму приказа об отстранении учащегося от посещения образовательной организации в связи с отсутствием заключения врача-фтизиатра об отсутствии у ребенка заболевания туберкулезом при измененной чувствительности иммунодиагностических тестов.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2. Главным врачам государственных учреждений Новосибирской области, подведомственных министерству </w:t>
      </w:r>
      <w:r>
        <w:rPr>
          <w:sz w:val="28"/>
          <w:szCs w:val="28"/>
        </w:rPr>
        <w:t xml:space="preserve">здравоохранения Новосибирской области (далее – медицинские организации):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довести до сведения медицинских работников, участвующих в организации раннего выявления туберкулезной инфекции у детей в возрасте 0 - 17 лет, Алгоритм, утвержденный настоящим прика</w:t>
      </w:r>
      <w:r>
        <w:rPr>
          <w:sz w:val="28"/>
          <w:szCs w:val="28"/>
        </w:rPr>
        <w:t xml:space="preserve">зом;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 организовать ведение детей, </w:t>
      </w:r>
      <w:r>
        <w:rPr>
          <w:color w:val="000000"/>
          <w:sz w:val="28"/>
          <w:szCs w:val="28"/>
        </w:rPr>
        <w:t xml:space="preserve">в случае отказа законных представителей от иммунодиагностики в соответствии с Алгоритмом.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3. </w:t>
      </w:r>
      <w:r>
        <w:rPr>
          <w:color w:val="000000" w:themeColor="text1"/>
          <w:sz w:val="28"/>
          <w:szCs w:val="28"/>
        </w:rPr>
        <w:t xml:space="preserve">Руководителям </w:t>
      </w:r>
      <w:r>
        <w:rPr>
          <w:color w:val="000000" w:themeColor="text1"/>
          <w:sz w:val="28"/>
          <w:szCs w:val="28"/>
        </w:rPr>
        <w:t xml:space="preserve">обще</w:t>
      </w:r>
      <w:r>
        <w:rPr>
          <w:color w:val="000000" w:themeColor="text1"/>
          <w:sz w:val="28"/>
          <w:szCs w:val="28"/>
        </w:rPr>
        <w:t xml:space="preserve">образовательных </w:t>
      </w:r>
      <w:r>
        <w:rPr>
          <w:color w:val="000000" w:themeColor="text1"/>
          <w:sz w:val="28"/>
          <w:szCs w:val="28"/>
        </w:rPr>
        <w:t xml:space="preserve">и дошкольных образовательных </w:t>
      </w:r>
      <w:r>
        <w:rPr>
          <w:color w:val="000000" w:themeColor="text1"/>
          <w:sz w:val="28"/>
          <w:szCs w:val="28"/>
        </w:rPr>
        <w:t xml:space="preserve">учреждений Новосибирской области (далее – образовательная организация) </w:t>
      </w:r>
      <w:r>
        <w:rPr>
          <w:color w:val="000000" w:themeColor="text1"/>
          <w:sz w:val="28"/>
          <w:szCs w:val="28"/>
        </w:rPr>
        <w:t xml:space="preserve">не допускать к посещению образовательной организации обучающихся, не обследованных на туберкулезную инфекцию.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4. </w:t>
      </w:r>
      <w:r>
        <w:rPr>
          <w:color w:val="000000" w:themeColor="text1"/>
          <w:sz w:val="28"/>
          <w:szCs w:val="28"/>
          <w:highlight w:val="white"/>
        </w:rPr>
        <w:t xml:space="preserve">Руководителям органов управления образованием муниципальных районов, городских и муниципальных районов</w:t>
      </w:r>
      <w:r>
        <w:rPr>
          <w:color w:val="000000" w:themeColor="text1"/>
          <w:sz w:val="28"/>
          <w:szCs w:val="28"/>
          <w:highlight w:val="white"/>
        </w:rPr>
        <w:t xml:space="preserve"> Новосибирской области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не допускать к посещению подведомственных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обще</w:t>
      </w:r>
      <w:r>
        <w:rPr>
          <w:color w:val="000000" w:themeColor="text1"/>
          <w:sz w:val="28"/>
          <w:szCs w:val="28"/>
          <w:highlight w:val="white"/>
        </w:rPr>
        <w:t xml:space="preserve">образовательных </w:t>
      </w:r>
      <w:r>
        <w:rPr>
          <w:color w:val="000000" w:themeColor="text1"/>
          <w:sz w:val="28"/>
          <w:szCs w:val="28"/>
          <w:highlight w:val="white"/>
        </w:rPr>
        <w:t xml:space="preserve">и дошкольных образовательных </w:t>
      </w:r>
      <w:r>
        <w:rPr>
          <w:color w:val="000000" w:themeColor="text1"/>
          <w:sz w:val="28"/>
          <w:szCs w:val="28"/>
          <w:highlight w:val="white"/>
        </w:rPr>
        <w:t xml:space="preserve">организаций обучающихся, не обследованных на туберкулезную инфекцию.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 Признать утратившими силу: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 минис</w:t>
      </w:r>
      <w:r>
        <w:rPr>
          <w:color w:val="000000"/>
          <w:sz w:val="28"/>
          <w:szCs w:val="28"/>
        </w:rPr>
        <w:t xml:space="preserve">терства здравоохранения Новосибирской области от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01.07.2024 № 17</w:t>
      </w:r>
      <w:r>
        <w:rPr>
          <w:color w:val="000000"/>
          <w:sz w:val="28"/>
          <w:szCs w:val="28"/>
        </w:rPr>
        <w:t xml:space="preserve">46 «Об утверждении алгоритма ведения детей, поступающих в образовательные учреждения (либо посещающие их), в случае отказа от </w:t>
      </w:r>
      <w:r>
        <w:rPr>
          <w:color w:val="000000"/>
          <w:sz w:val="28"/>
          <w:szCs w:val="28"/>
        </w:rPr>
        <w:t xml:space="preserve">иммунодиагностики в поликлинике по месту жительства, прикрепления ребенка или в медицинском кабинете образовательной организации»;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right="-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приказ министерства здравоохранения Новосибирской области от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05.08.2025 № 2186-НПА «</w:t>
      </w:r>
      <w:r>
        <w:rPr>
          <w:sz w:val="28"/>
          <w:szCs w:val="28"/>
        </w:rPr>
        <w:t xml:space="preserve">О внесении изменений в приказ министерства здравоохранения Новосибирской области от 01.07.2024 № 1746</w:t>
      </w:r>
      <w:r>
        <w:rPr>
          <w:color w:val="000000"/>
          <w:sz w:val="28"/>
          <w:szCs w:val="28"/>
        </w:rPr>
        <w:t xml:space="preserve">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6. Контроль за исполнением настоящего приказа возложить на замести</w:t>
      </w:r>
      <w:r>
        <w:rPr>
          <w:color w:val="000000"/>
          <w:sz w:val="28"/>
          <w:szCs w:val="28"/>
        </w:rPr>
        <w:t xml:space="preserve">теля министра здравоохранения Новосибирской области Анохину Т.Ю., </w:t>
      </w:r>
      <w:r>
        <w:rPr>
          <w:color w:val="000000" w:themeColor="text1"/>
          <w:sz w:val="28"/>
        </w:rPr>
        <w:t xml:space="preserve">заместителя министра образования Новосибирской области Щукина В.Н.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0452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969"/>
        <w:gridCol w:w="2976"/>
        <w:gridCol w:w="3507"/>
      </w:tblGrid>
      <w:tr>
        <w:tblPrEx/>
        <w:trPr>
          <w:trHeight w:val="1868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968" w:type="dxa"/>
            <w:textDirection w:val="lrTb"/>
            <w:noWrap w:val="false"/>
          </w:tcPr>
          <w:p>
            <w:pPr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Министр здравоохранения Новосибирской области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both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___________ Р.М. Заблоцкий 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76" w:type="dxa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07" w:type="dxa"/>
            <w:textDirection w:val="lrTb"/>
            <w:noWrap w:val="false"/>
          </w:tcPr>
          <w:p>
            <w:pPr>
              <w:ind w:left="71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Министр образования Новосибирской области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ind w:left="7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ind w:left="-3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 xml:space="preserve">_________М.Н Жафярова</w:t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</w:tc>
      </w:tr>
    </w:tbl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tabs>
          <w:tab w:val="left" w:pos="144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144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144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144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144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144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144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144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144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144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144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144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144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tabs>
          <w:tab w:val="left" w:pos="1440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Е.В. Разумцова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(383) 238 62 49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О.А. Корнетова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(383) 296 54 84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54782461"/>
      <w:docPartObj>
        <w:docPartGallery w:val="Page Numbers (Top of Page)"/>
        <w:docPartUnique w:val="true"/>
      </w:docPartObj>
      <w:rPr/>
    </w:sdtPr>
    <w:sdtContent>
      <w:p>
        <w:pPr>
          <w:pStyle w:val="85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3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  <w:p>
    <w:pPr>
      <w:pStyle w:val="85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b w:val="0"/>
        <w:i w:val="0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"/>
      <w:lvlJc w:val="left"/>
      <w:pPr>
        <w:ind w:left="720" w:hanging="360"/>
        <w:tabs>
          <w:tab w:val="num" w:pos="720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"/>
      <w:lvlJc w:val="left"/>
      <w:pPr>
        <w:ind w:left="1440" w:hanging="360"/>
        <w:tabs>
          <w:tab w:val="num" w:pos="1440" w:leader="none"/>
        </w:tabs>
      </w:pPr>
      <w:rPr>
        <w:rFonts w:ascii="Wingdings" w:hAnsi="Wingdings"/>
      </w:rPr>
    </w:lvl>
    <w:lvl w:ilvl="2">
      <w:start w:val="1"/>
      <w:numFmt w:val="bullet"/>
      <w:isLgl w:val="false"/>
      <w:suff w:val="tab"/>
      <w:lvlText w:val="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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</w:rPr>
    </w:lvl>
    <w:lvl w:ilvl="4">
      <w:start w:val="1"/>
      <w:numFmt w:val="bullet"/>
      <w:isLgl w:val="false"/>
      <w:suff w:val="tab"/>
      <w:lvlText w:val="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</w:rPr>
    </w:lvl>
    <w:lvl w:ilvl="5">
      <w:start w:val="1"/>
      <w:numFmt w:val="bullet"/>
      <w:isLgl w:val="false"/>
      <w:suff w:val="tab"/>
      <w:lvlText w:val="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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</w:rPr>
    </w:lvl>
    <w:lvl w:ilvl="7">
      <w:start w:val="1"/>
      <w:numFmt w:val="bullet"/>
      <w:isLgl w:val="false"/>
      <w:suff w:val="tab"/>
      <w:lvlText w:val="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</w:rPr>
    </w:lvl>
    <w:lvl w:ilvl="8">
      <w:start w:val="1"/>
      <w:numFmt w:val="bullet"/>
      <w:isLgl w:val="false"/>
      <w:suff w:val="tab"/>
      <w:lvlText w:val="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"/>
      <w:lvlJc w:val="left"/>
      <w:pPr>
        <w:ind w:left="1920" w:hanging="360"/>
        <w:tabs>
          <w:tab w:val="num" w:pos="192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3840" w:hanging="720"/>
        <w:tabs>
          <w:tab w:val="num" w:pos="384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5400" w:hanging="720"/>
        <w:tabs>
          <w:tab w:val="num" w:pos="540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7320" w:hanging="1080"/>
        <w:tabs>
          <w:tab w:val="num" w:pos="732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8880" w:hanging="1080"/>
        <w:tabs>
          <w:tab w:val="num" w:pos="88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0800" w:hanging="1440"/>
        <w:tabs>
          <w:tab w:val="num" w:pos="1080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2360" w:hanging="1440"/>
        <w:tabs>
          <w:tab w:val="num" w:pos="1236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280" w:hanging="1800"/>
        <w:tabs>
          <w:tab w:val="num" w:pos="142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20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350" w:hanging="1350"/>
        <w:tabs>
          <w:tab w:val="num" w:pos="1350" w:leader="none"/>
        </w:tabs>
      </w:pPr>
    </w:lvl>
    <w:lvl w:ilvl="1">
      <w:start w:val="15"/>
      <w:numFmt w:val="decimal"/>
      <w:isLgl w:val="false"/>
      <w:suff w:val="tab"/>
      <w:lvlText w:val="%1.%2-"/>
      <w:lvlJc w:val="left"/>
      <w:pPr>
        <w:ind w:left="2150" w:hanging="1350"/>
        <w:tabs>
          <w:tab w:val="num" w:pos="2150" w:leader="none"/>
        </w:tabs>
      </w:pPr>
    </w:lvl>
    <w:lvl w:ilvl="2">
      <w:start w:val="10"/>
      <w:numFmt w:val="decimal"/>
      <w:isLgl w:val="false"/>
      <w:suff w:val="tab"/>
      <w:lvlText w:val="%1.%2-%3."/>
      <w:lvlJc w:val="left"/>
      <w:pPr>
        <w:ind w:left="2950" w:hanging="1350"/>
        <w:tabs>
          <w:tab w:val="num" w:pos="2950" w:leader="none"/>
        </w:tabs>
      </w:pPr>
    </w:lvl>
    <w:lvl w:ilvl="3">
      <w:start w:val="30"/>
      <w:numFmt w:val="decimal"/>
      <w:isLgl w:val="false"/>
      <w:suff w:val="tab"/>
      <w:lvlText w:val="%1.%2-%3.%4."/>
      <w:lvlJc w:val="left"/>
      <w:pPr>
        <w:ind w:left="3150" w:hanging="1350"/>
        <w:tabs>
          <w:tab w:val="num" w:pos="3150" w:leader="none"/>
        </w:tabs>
      </w:pPr>
    </w:lvl>
    <w:lvl w:ilvl="4">
      <w:start w:val="1"/>
      <w:numFmt w:val="decimal"/>
      <w:isLgl w:val="false"/>
      <w:suff w:val="tab"/>
      <w:lvlText w:val="%1.%2-%3.%4.%5."/>
      <w:lvlJc w:val="left"/>
      <w:pPr>
        <w:ind w:left="4550" w:hanging="1350"/>
        <w:tabs>
          <w:tab w:val="num" w:pos="4550" w:leader="none"/>
        </w:tabs>
      </w:pPr>
    </w:lvl>
    <w:lvl w:ilvl="5">
      <w:start w:val="1"/>
      <w:numFmt w:val="decimal"/>
      <w:isLgl w:val="false"/>
      <w:suff w:val="tab"/>
      <w:lvlText w:val="%1.%2-%3.%4.%5.%6."/>
      <w:lvlJc w:val="left"/>
      <w:pPr>
        <w:ind w:left="5440" w:hanging="1440"/>
        <w:tabs>
          <w:tab w:val="num" w:pos="5440" w:leader="none"/>
        </w:tabs>
      </w:pPr>
    </w:lvl>
    <w:lvl w:ilvl="6">
      <w:start w:val="1"/>
      <w:numFmt w:val="decimal"/>
      <w:isLgl w:val="false"/>
      <w:suff w:val="tab"/>
      <w:lvlText w:val="%1.%2-%3.%4.%5.%6.%7."/>
      <w:lvlJc w:val="left"/>
      <w:pPr>
        <w:ind w:left="6240" w:hanging="1440"/>
        <w:tabs>
          <w:tab w:val="num" w:pos="6240" w:leader="none"/>
        </w:tabs>
      </w:pPr>
    </w:lvl>
    <w:lvl w:ilvl="7">
      <w:start w:val="1"/>
      <w:numFmt w:val="decimal"/>
      <w:isLgl w:val="false"/>
      <w:suff w:val="tab"/>
      <w:lvlText w:val="%1.%2-%3.%4.%5.%6.%7.%8."/>
      <w:lvlJc w:val="left"/>
      <w:pPr>
        <w:ind w:left="7400" w:hanging="1800"/>
        <w:tabs>
          <w:tab w:val="num" w:pos="7400" w:leader="none"/>
        </w:tabs>
      </w:pPr>
    </w:lvl>
    <w:lvl w:ilvl="8">
      <w:start w:val="1"/>
      <w:numFmt w:val="decimal"/>
      <w:isLgl w:val="false"/>
      <w:suff w:val="tab"/>
      <w:lvlText w:val="%1.%2-%3.%4.%5.%6.%7.%8.%9."/>
      <w:lvlJc w:val="left"/>
      <w:pPr>
        <w:ind w:left="8200" w:hanging="1800"/>
        <w:tabs>
          <w:tab w:val="num" w:pos="820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0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350" w:hanging="1350"/>
        <w:tabs>
          <w:tab w:val="num" w:pos="1350" w:leader="none"/>
        </w:tabs>
      </w:pPr>
    </w:lvl>
    <w:lvl w:ilvl="1">
      <w:start w:val="30"/>
      <w:numFmt w:val="decimal"/>
      <w:isLgl w:val="false"/>
      <w:suff w:val="tab"/>
      <w:lvlText w:val="%1.%2-"/>
      <w:lvlJc w:val="left"/>
      <w:pPr>
        <w:ind w:left="2580" w:hanging="1350"/>
        <w:tabs>
          <w:tab w:val="num" w:pos="2580" w:leader="none"/>
        </w:tabs>
      </w:pPr>
    </w:lvl>
    <w:lvl w:ilvl="2">
      <w:start w:val="11"/>
      <w:numFmt w:val="decimal"/>
      <w:isLgl w:val="false"/>
      <w:suff w:val="tab"/>
      <w:lvlText w:val="%1.%2-%3.0."/>
      <w:lvlJc w:val="left"/>
      <w:pPr>
        <w:ind w:left="3810" w:hanging="1350"/>
        <w:tabs>
          <w:tab w:val="num" w:pos="3810" w:leader="none"/>
        </w:tabs>
      </w:pPr>
    </w:lvl>
    <w:lvl w:ilvl="3">
      <w:start w:val="1"/>
      <w:numFmt w:val="decimalZero"/>
      <w:isLgl w:val="false"/>
      <w:suff w:val="tab"/>
      <w:lvlText w:val="%1.%2-%3.%4."/>
      <w:lvlJc w:val="left"/>
      <w:pPr>
        <w:ind w:left="5040" w:hanging="1350"/>
        <w:tabs>
          <w:tab w:val="num" w:pos="5040" w:leader="none"/>
        </w:tabs>
      </w:pPr>
    </w:lvl>
    <w:lvl w:ilvl="4">
      <w:start w:val="1"/>
      <w:numFmt w:val="decimal"/>
      <w:isLgl w:val="false"/>
      <w:suff w:val="tab"/>
      <w:lvlText w:val="%1.%2-%3.%4.%5."/>
      <w:lvlJc w:val="left"/>
      <w:pPr>
        <w:ind w:left="6270" w:hanging="1350"/>
        <w:tabs>
          <w:tab w:val="num" w:pos="6270" w:leader="none"/>
        </w:tabs>
      </w:pPr>
    </w:lvl>
    <w:lvl w:ilvl="5">
      <w:start w:val="1"/>
      <w:numFmt w:val="decimal"/>
      <w:isLgl w:val="false"/>
      <w:suff w:val="tab"/>
      <w:lvlText w:val="%1.%2-%3.%4.%5.%6."/>
      <w:lvlJc w:val="left"/>
      <w:pPr>
        <w:ind w:left="7590" w:hanging="1440"/>
        <w:tabs>
          <w:tab w:val="num" w:pos="7590" w:leader="none"/>
        </w:tabs>
      </w:pPr>
    </w:lvl>
    <w:lvl w:ilvl="6">
      <w:start w:val="1"/>
      <w:numFmt w:val="decimal"/>
      <w:isLgl w:val="false"/>
      <w:suff w:val="tab"/>
      <w:lvlText w:val="%1.%2-%3.%4.%5.%6.%7."/>
      <w:lvlJc w:val="left"/>
      <w:pPr>
        <w:ind w:left="8820" w:hanging="1440"/>
        <w:tabs>
          <w:tab w:val="num" w:pos="8820" w:leader="none"/>
        </w:tabs>
      </w:pPr>
    </w:lvl>
    <w:lvl w:ilvl="7">
      <w:start w:val="1"/>
      <w:numFmt w:val="decimal"/>
      <w:isLgl w:val="false"/>
      <w:suff w:val="tab"/>
      <w:lvlText w:val="%1.%2-%3.%4.%5.%6.%7.%8."/>
      <w:lvlJc w:val="left"/>
      <w:pPr>
        <w:ind w:left="10410" w:hanging="1800"/>
        <w:tabs>
          <w:tab w:val="num" w:pos="10410" w:leader="none"/>
        </w:tabs>
      </w:pPr>
    </w:lvl>
    <w:lvl w:ilvl="8">
      <w:start w:val="1"/>
      <w:numFmt w:val="decimal"/>
      <w:isLgl w:val="false"/>
      <w:suff w:val="tab"/>
      <w:lvlText w:val="%1.%2-%3.%4.%5.%6.%7.%8.%9."/>
      <w:lvlJc w:val="left"/>
      <w:pPr>
        <w:ind w:left="11640" w:hanging="1800"/>
        <w:tabs>
          <w:tab w:val="num" w:pos="11640" w:leader="none"/>
        </w:tabs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  <w:tabs>
          <w:tab w:val="num" w:pos="19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280" w:hanging="720"/>
        <w:tabs>
          <w:tab w:val="num" w:pos="22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280" w:hanging="720"/>
        <w:tabs>
          <w:tab w:val="num" w:pos="22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640" w:hanging="1080"/>
        <w:tabs>
          <w:tab w:val="num" w:pos="26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640" w:hanging="1080"/>
        <w:tabs>
          <w:tab w:val="num" w:pos="26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000" w:hanging="1440"/>
        <w:tabs>
          <w:tab w:val="num" w:pos="30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360" w:hanging="1800"/>
        <w:tabs>
          <w:tab w:val="num" w:pos="33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360" w:hanging="1800"/>
        <w:tabs>
          <w:tab w:val="num" w:pos="33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720" w:hanging="2160"/>
        <w:tabs>
          <w:tab w:val="num" w:pos="372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214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6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94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66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7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82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54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28" w:hanging="216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eastAsia="Calibr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2.1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7" w:hanging="397"/>
        <w:tabs>
          <w:tab w:val="num" w:pos="397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2.2"/>
      <w:lvlJc w:val="left"/>
      <w:pPr>
        <w:ind w:left="360" w:hanging="360"/>
        <w:tabs>
          <w:tab w:val="num" w:pos="360" w:leader="none"/>
        </w:tabs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4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9"/>
  </w:num>
  <w:num w:numId="2">
    <w:abstractNumId w:val="0"/>
  </w:num>
  <w:num w:numId="3">
    <w:abstractNumId w:val="39"/>
  </w:num>
  <w:num w:numId="4">
    <w:abstractNumId w:val="8"/>
  </w:num>
  <w:num w:numId="5">
    <w:abstractNumId w:val="19"/>
  </w:num>
  <w:num w:numId="6">
    <w:abstractNumId w:val="3"/>
  </w:num>
  <w:num w:numId="7">
    <w:abstractNumId w:val="44"/>
  </w:num>
  <w:num w:numId="8">
    <w:abstractNumId w:val="47"/>
  </w:num>
  <w:num w:numId="9">
    <w:abstractNumId w:val="48"/>
  </w:num>
  <w:num w:numId="10">
    <w:abstractNumId w:val="27"/>
  </w:num>
  <w:num w:numId="11">
    <w:abstractNumId w:val="42"/>
  </w:num>
  <w:num w:numId="12">
    <w:abstractNumId w:val="29"/>
  </w:num>
  <w:num w:numId="13">
    <w:abstractNumId w:val="45"/>
  </w:num>
  <w:num w:numId="14">
    <w:abstractNumId w:val="43"/>
  </w:num>
  <w:num w:numId="15">
    <w:abstractNumId w:val="40"/>
  </w:num>
  <w:num w:numId="16">
    <w:abstractNumId w:val="13"/>
  </w:num>
  <w:num w:numId="17">
    <w:abstractNumId w:val="37"/>
  </w:num>
  <w:num w:numId="18">
    <w:abstractNumId w:val="22"/>
  </w:num>
  <w:num w:numId="19">
    <w:abstractNumId w:val="36"/>
  </w:num>
  <w:num w:numId="20">
    <w:abstractNumId w:val="6"/>
  </w:num>
  <w:num w:numId="21">
    <w:abstractNumId w:val="15"/>
  </w:num>
  <w:num w:numId="22">
    <w:abstractNumId w:val="12"/>
  </w:num>
  <w:num w:numId="23">
    <w:abstractNumId w:val="38"/>
  </w:num>
  <w:num w:numId="24">
    <w:abstractNumId w:val="16"/>
  </w:num>
  <w:num w:numId="25">
    <w:abstractNumId w:val="26"/>
  </w:num>
  <w:num w:numId="26">
    <w:abstractNumId w:val="33"/>
  </w:num>
  <w:num w:numId="27">
    <w:abstractNumId w:val="10"/>
  </w:num>
  <w:num w:numId="28">
    <w:abstractNumId w:val="24"/>
  </w:num>
  <w:num w:numId="29">
    <w:abstractNumId w:val="30"/>
  </w:num>
  <w:num w:numId="30">
    <w:abstractNumId w:val="31"/>
  </w:num>
  <w:num w:numId="31">
    <w:abstractNumId w:val="1"/>
  </w:num>
  <w:num w:numId="32">
    <w:abstractNumId w:val="23"/>
  </w:num>
  <w:num w:numId="33">
    <w:abstractNumId w:val="34"/>
  </w:num>
  <w:num w:numId="34">
    <w:abstractNumId w:val="28"/>
  </w:num>
  <w:num w:numId="35">
    <w:abstractNumId w:val="5"/>
  </w:num>
  <w:num w:numId="36">
    <w:abstractNumId w:val="4"/>
  </w:num>
  <w:num w:numId="37">
    <w:abstractNumId w:val="17"/>
  </w:num>
  <w:num w:numId="38">
    <w:abstractNumId w:val="25"/>
  </w:num>
  <w:num w:numId="39">
    <w:abstractNumId w:val="11"/>
  </w:num>
  <w:num w:numId="40">
    <w:abstractNumId w:val="32"/>
  </w:num>
  <w:num w:numId="41">
    <w:abstractNumId w:val="41"/>
  </w:num>
  <w:num w:numId="42">
    <w:abstractNumId w:val="2"/>
  </w:num>
  <w:num w:numId="43">
    <w:abstractNumId w:val="35"/>
  </w:num>
  <w:num w:numId="44">
    <w:abstractNumId w:val="46"/>
  </w:num>
  <w:num w:numId="45">
    <w:abstractNumId w:val="21"/>
  </w:num>
  <w:num w:numId="46">
    <w:abstractNumId w:val="18"/>
  </w:num>
  <w:num w:numId="47">
    <w:abstractNumId w:val="20"/>
  </w:num>
  <w:num w:numId="48">
    <w:abstractNumId w:val="7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8">
    <w:name w:val="Caption Char"/>
    <w:basedOn w:val="818"/>
    <w:link w:val="858"/>
    <w:uiPriority w:val="35"/>
    <w:rPr>
      <w:b/>
      <w:bCs/>
      <w:color w:val="4f81bd" w:themeColor="accent1"/>
      <w:sz w:val="18"/>
      <w:szCs w:val="18"/>
    </w:rPr>
  </w:style>
  <w:style w:type="table" w:styleId="789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2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4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8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9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0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808" w:default="1">
    <w:name w:val="Normal"/>
    <w:qFormat/>
    <w:rPr>
      <w:sz w:val="24"/>
      <w:szCs w:val="24"/>
    </w:rPr>
  </w:style>
  <w:style w:type="paragraph" w:styleId="809">
    <w:name w:val="Heading 1"/>
    <w:basedOn w:val="808"/>
    <w:next w:val="808"/>
    <w:link w:val="835"/>
    <w:qFormat/>
    <w:pPr>
      <w:ind w:firstLine="993"/>
      <w:jc w:val="both"/>
      <w:keepNext/>
      <w:outlineLvl w:val="0"/>
    </w:pPr>
    <w:rPr>
      <w:sz w:val="28"/>
      <w:szCs w:val="28"/>
    </w:rPr>
  </w:style>
  <w:style w:type="paragraph" w:styleId="810">
    <w:name w:val="Heading 2"/>
    <w:basedOn w:val="808"/>
    <w:next w:val="808"/>
    <w:link w:val="836"/>
    <w:qFormat/>
    <w:pPr>
      <w:ind w:right="27"/>
      <w:jc w:val="center"/>
      <w:keepNext/>
      <w:outlineLvl w:val="1"/>
    </w:pPr>
    <w:rPr>
      <w:b/>
      <w:bCs/>
      <w:sz w:val="32"/>
    </w:rPr>
  </w:style>
  <w:style w:type="paragraph" w:styleId="811">
    <w:name w:val="Heading 3"/>
    <w:basedOn w:val="808"/>
    <w:next w:val="808"/>
    <w:link w:val="837"/>
    <w:qFormat/>
    <w:pPr>
      <w:jc w:val="center"/>
      <w:keepNext/>
      <w:outlineLvl w:val="2"/>
    </w:pPr>
    <w:rPr>
      <w:sz w:val="28"/>
    </w:rPr>
  </w:style>
  <w:style w:type="paragraph" w:styleId="812">
    <w:name w:val="Heading 4"/>
    <w:basedOn w:val="808"/>
    <w:next w:val="808"/>
    <w:link w:val="838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13">
    <w:name w:val="Heading 5"/>
    <w:basedOn w:val="808"/>
    <w:next w:val="808"/>
    <w:link w:val="1017"/>
    <w:qFormat/>
    <w:pPr>
      <w:ind w:left="360"/>
      <w:jc w:val="center"/>
      <w:keepNext/>
      <w:outlineLvl w:val="4"/>
    </w:pPr>
    <w:rPr>
      <w:sz w:val="28"/>
      <w:szCs w:val="32"/>
      <w:lang w:val="en-US" w:eastAsia="en-US"/>
    </w:rPr>
  </w:style>
  <w:style w:type="paragraph" w:styleId="814">
    <w:name w:val="Heading 6"/>
    <w:basedOn w:val="808"/>
    <w:next w:val="808"/>
    <w:link w:val="84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5">
    <w:name w:val="Heading 7"/>
    <w:basedOn w:val="808"/>
    <w:next w:val="808"/>
    <w:link w:val="841"/>
    <w:qFormat/>
    <w:pPr>
      <w:jc w:val="center"/>
      <w:keepNext/>
      <w:outlineLvl w:val="6"/>
    </w:pPr>
    <w:rPr>
      <w:sz w:val="32"/>
      <w:szCs w:val="20"/>
    </w:rPr>
  </w:style>
  <w:style w:type="paragraph" w:styleId="816">
    <w:name w:val="Heading 8"/>
    <w:basedOn w:val="808"/>
    <w:next w:val="808"/>
    <w:link w:val="84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7">
    <w:name w:val="Heading 9"/>
    <w:basedOn w:val="808"/>
    <w:next w:val="808"/>
    <w:link w:val="84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character" w:styleId="821" w:customStyle="1">
    <w:name w:val="Heading 1 Char"/>
    <w:basedOn w:val="818"/>
    <w:uiPriority w:val="9"/>
    <w:rPr>
      <w:rFonts w:ascii="Arial" w:hAnsi="Arial" w:eastAsia="Arial" w:cs="Arial"/>
      <w:sz w:val="40"/>
      <w:szCs w:val="40"/>
    </w:rPr>
  </w:style>
  <w:style w:type="character" w:styleId="822" w:customStyle="1">
    <w:name w:val="Heading 2 Char"/>
    <w:basedOn w:val="818"/>
    <w:uiPriority w:val="9"/>
    <w:rPr>
      <w:rFonts w:ascii="Arial" w:hAnsi="Arial" w:eastAsia="Arial" w:cs="Arial"/>
      <w:sz w:val="34"/>
    </w:rPr>
  </w:style>
  <w:style w:type="character" w:styleId="823" w:customStyle="1">
    <w:name w:val="Heading 3 Char"/>
    <w:basedOn w:val="818"/>
    <w:uiPriority w:val="9"/>
    <w:rPr>
      <w:rFonts w:ascii="Arial" w:hAnsi="Arial" w:eastAsia="Arial" w:cs="Arial"/>
      <w:sz w:val="30"/>
      <w:szCs w:val="30"/>
    </w:rPr>
  </w:style>
  <w:style w:type="character" w:styleId="824" w:customStyle="1">
    <w:name w:val="Heading 4 Char"/>
    <w:basedOn w:val="818"/>
    <w:uiPriority w:val="9"/>
    <w:rPr>
      <w:rFonts w:ascii="Arial" w:hAnsi="Arial" w:eastAsia="Arial" w:cs="Arial"/>
      <w:b/>
      <w:bCs/>
      <w:sz w:val="26"/>
      <w:szCs w:val="26"/>
    </w:rPr>
  </w:style>
  <w:style w:type="character" w:styleId="825" w:customStyle="1">
    <w:name w:val="Heading 6 Char"/>
    <w:basedOn w:val="818"/>
    <w:uiPriority w:val="9"/>
    <w:rPr>
      <w:rFonts w:ascii="Arial" w:hAnsi="Arial" w:eastAsia="Arial" w:cs="Arial"/>
      <w:b/>
      <w:bCs/>
      <w:sz w:val="22"/>
      <w:szCs w:val="22"/>
    </w:rPr>
  </w:style>
  <w:style w:type="character" w:styleId="826" w:customStyle="1">
    <w:name w:val="Heading 7 Char"/>
    <w:basedOn w:val="8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7" w:customStyle="1">
    <w:name w:val="Heading 8 Char"/>
    <w:basedOn w:val="818"/>
    <w:uiPriority w:val="9"/>
    <w:rPr>
      <w:rFonts w:ascii="Arial" w:hAnsi="Arial" w:eastAsia="Arial" w:cs="Arial"/>
      <w:i/>
      <w:iCs/>
      <w:sz w:val="22"/>
      <w:szCs w:val="22"/>
    </w:rPr>
  </w:style>
  <w:style w:type="character" w:styleId="828" w:customStyle="1">
    <w:name w:val="Heading 9 Char"/>
    <w:basedOn w:val="818"/>
    <w:uiPriority w:val="9"/>
    <w:rPr>
      <w:rFonts w:ascii="Arial" w:hAnsi="Arial" w:eastAsia="Arial" w:cs="Arial"/>
      <w:i/>
      <w:iCs/>
      <w:sz w:val="21"/>
      <w:szCs w:val="21"/>
    </w:rPr>
  </w:style>
  <w:style w:type="character" w:styleId="829" w:customStyle="1">
    <w:name w:val="Title Char"/>
    <w:basedOn w:val="818"/>
    <w:uiPriority w:val="10"/>
    <w:rPr>
      <w:sz w:val="48"/>
      <w:szCs w:val="48"/>
    </w:rPr>
  </w:style>
  <w:style w:type="character" w:styleId="830" w:customStyle="1">
    <w:name w:val="Subtitle Char"/>
    <w:basedOn w:val="818"/>
    <w:uiPriority w:val="11"/>
    <w:rPr>
      <w:sz w:val="24"/>
      <w:szCs w:val="24"/>
    </w:rPr>
  </w:style>
  <w:style w:type="character" w:styleId="831" w:customStyle="1">
    <w:name w:val="Quote Char"/>
    <w:uiPriority w:val="29"/>
    <w:rPr>
      <w:i/>
    </w:rPr>
  </w:style>
  <w:style w:type="character" w:styleId="832" w:customStyle="1">
    <w:name w:val="Intense Quote Char"/>
    <w:uiPriority w:val="30"/>
    <w:rPr>
      <w:i/>
    </w:rPr>
  </w:style>
  <w:style w:type="character" w:styleId="833" w:customStyle="1">
    <w:name w:val="Footnote Text Char"/>
    <w:uiPriority w:val="99"/>
    <w:rPr>
      <w:sz w:val="18"/>
    </w:rPr>
  </w:style>
  <w:style w:type="character" w:styleId="834" w:customStyle="1">
    <w:name w:val="Endnote Text Char"/>
    <w:uiPriority w:val="99"/>
    <w:rPr>
      <w:sz w:val="20"/>
    </w:rPr>
  </w:style>
  <w:style w:type="character" w:styleId="835" w:customStyle="1">
    <w:name w:val="Заголовок 1 Знак"/>
    <w:link w:val="809"/>
    <w:uiPriority w:val="9"/>
    <w:rPr>
      <w:rFonts w:ascii="Arial" w:hAnsi="Arial" w:eastAsia="Arial" w:cs="Arial"/>
      <w:sz w:val="40"/>
      <w:szCs w:val="40"/>
    </w:rPr>
  </w:style>
  <w:style w:type="character" w:styleId="836" w:customStyle="1">
    <w:name w:val="Заголовок 2 Знак"/>
    <w:link w:val="810"/>
    <w:uiPriority w:val="9"/>
    <w:rPr>
      <w:rFonts w:ascii="Arial" w:hAnsi="Arial" w:eastAsia="Arial" w:cs="Arial"/>
      <w:sz w:val="34"/>
    </w:rPr>
  </w:style>
  <w:style w:type="character" w:styleId="837" w:customStyle="1">
    <w:name w:val="Заголовок 3 Знак"/>
    <w:link w:val="811"/>
    <w:uiPriority w:val="9"/>
    <w:rPr>
      <w:rFonts w:ascii="Arial" w:hAnsi="Arial" w:eastAsia="Arial" w:cs="Arial"/>
      <w:sz w:val="30"/>
      <w:szCs w:val="30"/>
    </w:rPr>
  </w:style>
  <w:style w:type="character" w:styleId="838" w:customStyle="1">
    <w:name w:val="Заголовок 4 Знак"/>
    <w:link w:val="812"/>
    <w:uiPriority w:val="9"/>
    <w:rPr>
      <w:rFonts w:ascii="Arial" w:hAnsi="Arial" w:eastAsia="Arial" w:cs="Arial"/>
      <w:b/>
      <w:bCs/>
      <w:sz w:val="26"/>
      <w:szCs w:val="26"/>
    </w:rPr>
  </w:style>
  <w:style w:type="character" w:styleId="839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840" w:customStyle="1">
    <w:name w:val="Заголовок 6 Знак"/>
    <w:link w:val="814"/>
    <w:uiPriority w:val="9"/>
    <w:rPr>
      <w:rFonts w:ascii="Arial" w:hAnsi="Arial" w:eastAsia="Arial" w:cs="Arial"/>
      <w:b/>
      <w:bCs/>
      <w:sz w:val="22"/>
      <w:szCs w:val="22"/>
    </w:rPr>
  </w:style>
  <w:style w:type="character" w:styleId="841" w:customStyle="1">
    <w:name w:val="Заголовок 7 Знак"/>
    <w:link w:val="8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42" w:customStyle="1">
    <w:name w:val="Заголовок 8 Знак"/>
    <w:link w:val="816"/>
    <w:uiPriority w:val="9"/>
    <w:rPr>
      <w:rFonts w:ascii="Arial" w:hAnsi="Arial" w:eastAsia="Arial" w:cs="Arial"/>
      <w:i/>
      <w:iCs/>
      <w:sz w:val="22"/>
      <w:szCs w:val="22"/>
    </w:rPr>
  </w:style>
  <w:style w:type="character" w:styleId="843" w:customStyle="1">
    <w:name w:val="Заголовок 9 Знак"/>
    <w:link w:val="817"/>
    <w:uiPriority w:val="9"/>
    <w:rPr>
      <w:rFonts w:ascii="Arial" w:hAnsi="Arial" w:eastAsia="Arial" w:cs="Arial"/>
      <w:i/>
      <w:iCs/>
      <w:sz w:val="21"/>
      <w:szCs w:val="21"/>
    </w:rPr>
  </w:style>
  <w:style w:type="paragraph" w:styleId="844">
    <w:name w:val="List Paragraph"/>
    <w:basedOn w:val="808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45">
    <w:name w:val="No Spacing"/>
    <w:qFormat/>
    <w:rPr>
      <w:rFonts w:ascii="Calibri" w:hAnsi="Calibri"/>
      <w:sz w:val="22"/>
      <w:szCs w:val="22"/>
    </w:rPr>
  </w:style>
  <w:style w:type="paragraph" w:styleId="846">
    <w:name w:val="Title"/>
    <w:basedOn w:val="808"/>
    <w:next w:val="808"/>
    <w:link w:val="84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47" w:customStyle="1">
    <w:name w:val="Заголовок Знак"/>
    <w:link w:val="846"/>
    <w:uiPriority w:val="10"/>
    <w:rPr>
      <w:sz w:val="48"/>
      <w:szCs w:val="48"/>
    </w:rPr>
  </w:style>
  <w:style w:type="paragraph" w:styleId="848">
    <w:name w:val="Subtitle"/>
    <w:basedOn w:val="808"/>
    <w:link w:val="849"/>
    <w:qFormat/>
    <w:pPr>
      <w:ind w:right="27"/>
      <w:jc w:val="center"/>
    </w:pPr>
    <w:rPr>
      <w:b/>
      <w:sz w:val="28"/>
    </w:rPr>
  </w:style>
  <w:style w:type="character" w:styleId="849" w:customStyle="1">
    <w:name w:val="Подзаголовок Знак"/>
    <w:link w:val="848"/>
    <w:uiPriority w:val="11"/>
    <w:rPr>
      <w:sz w:val="24"/>
      <w:szCs w:val="24"/>
    </w:rPr>
  </w:style>
  <w:style w:type="paragraph" w:styleId="850">
    <w:name w:val="Quote"/>
    <w:basedOn w:val="808"/>
    <w:next w:val="808"/>
    <w:link w:val="851"/>
    <w:uiPriority w:val="29"/>
    <w:qFormat/>
    <w:pPr>
      <w:ind w:left="720" w:right="720"/>
    </w:pPr>
    <w:rPr>
      <w:i/>
    </w:rPr>
  </w:style>
  <w:style w:type="character" w:styleId="851" w:customStyle="1">
    <w:name w:val="Цитата 2 Знак"/>
    <w:link w:val="850"/>
    <w:uiPriority w:val="29"/>
    <w:rPr>
      <w:i/>
    </w:rPr>
  </w:style>
  <w:style w:type="paragraph" w:styleId="852">
    <w:name w:val="Intense Quote"/>
    <w:basedOn w:val="808"/>
    <w:next w:val="808"/>
    <w:link w:val="85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3" w:customStyle="1">
    <w:name w:val="Выделенная цитата Знак"/>
    <w:link w:val="852"/>
    <w:uiPriority w:val="30"/>
    <w:rPr>
      <w:i/>
    </w:rPr>
  </w:style>
  <w:style w:type="paragraph" w:styleId="854">
    <w:name w:val="Header"/>
    <w:basedOn w:val="808"/>
    <w:link w:val="1043"/>
    <w:uiPriority w:val="99"/>
    <w:pPr>
      <w:tabs>
        <w:tab w:val="center" w:pos="4677" w:leader="none"/>
        <w:tab w:val="right" w:pos="9355" w:leader="none"/>
      </w:tabs>
    </w:pPr>
  </w:style>
  <w:style w:type="character" w:styleId="855" w:customStyle="1">
    <w:name w:val="Header Char"/>
    <w:uiPriority w:val="99"/>
  </w:style>
  <w:style w:type="paragraph" w:styleId="856">
    <w:name w:val="Footer"/>
    <w:basedOn w:val="808"/>
    <w:link w:val="1049"/>
    <w:uiPriority w:val="99"/>
    <w:pPr>
      <w:tabs>
        <w:tab w:val="center" w:pos="4677" w:leader="none"/>
        <w:tab w:val="right" w:pos="9355" w:leader="none"/>
      </w:tabs>
    </w:pPr>
  </w:style>
  <w:style w:type="character" w:styleId="857" w:customStyle="1">
    <w:name w:val="Footer Char"/>
    <w:uiPriority w:val="99"/>
  </w:style>
  <w:style w:type="paragraph" w:styleId="858">
    <w:name w:val="Caption"/>
    <w:basedOn w:val="808"/>
    <w:next w:val="808"/>
    <w:link w:val="859"/>
    <w:qFormat/>
    <w:rPr>
      <w:sz w:val="28"/>
    </w:rPr>
  </w:style>
  <w:style w:type="character" w:styleId="859" w:customStyle="1">
    <w:name w:val="Название объекта Знак"/>
    <w:link w:val="858"/>
    <w:uiPriority w:val="99"/>
  </w:style>
  <w:style w:type="table" w:styleId="860">
    <w:name w:val="Table Grid"/>
    <w:basedOn w:val="819"/>
    <w:tblPr/>
  </w:style>
  <w:style w:type="table" w:styleId="861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Таблица простая 1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3" w:customStyle="1">
    <w:name w:val="Таблица простая 21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4" w:customStyle="1">
    <w:name w:val="Таблица простая 3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Таблица простая 4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Таблица простая 5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Таблица-сетка 1 светл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Таблица-сетка 2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Таблица-сетка 3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Таблица-сетка 4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Таблица-сетк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Таблица-сетк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Таблица-сетк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Список-таблица 1 светлая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Список-таблица 2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29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0" w:customStyle="1">
    <w:name w:val="Список-таблица 3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1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2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3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4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5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6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7" w:customStyle="1">
    <w:name w:val="Список-таблица 4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8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39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0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1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2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3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44" w:customStyle="1">
    <w:name w:val="Список-таблица 5 тем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945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946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947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948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949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950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951" w:customStyle="1">
    <w:name w:val="Список-таблица 6 цветная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2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3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4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5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6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7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8" w:customStyle="1">
    <w:name w:val="Список-таблица 7 цветная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59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0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1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2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3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4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65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6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7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8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69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0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1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72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3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4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5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6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7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8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79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0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1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2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3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4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85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986">
    <w:name w:val="Hyperlink"/>
    <w:rPr>
      <w:rFonts w:cs="Times New Roman"/>
      <w:color w:val="0000ff"/>
      <w:u w:val="single"/>
    </w:rPr>
  </w:style>
  <w:style w:type="paragraph" w:styleId="987">
    <w:name w:val="footnote text"/>
    <w:basedOn w:val="808"/>
    <w:link w:val="988"/>
    <w:uiPriority w:val="99"/>
    <w:semiHidden/>
    <w:unhideWhenUsed/>
    <w:pPr>
      <w:spacing w:after="40"/>
    </w:pPr>
    <w:rPr>
      <w:sz w:val="18"/>
    </w:rPr>
  </w:style>
  <w:style w:type="character" w:styleId="988" w:customStyle="1">
    <w:name w:val="Текст сноски Знак"/>
    <w:link w:val="987"/>
    <w:uiPriority w:val="99"/>
    <w:rPr>
      <w:sz w:val="18"/>
    </w:rPr>
  </w:style>
  <w:style w:type="character" w:styleId="989">
    <w:name w:val="footnote reference"/>
    <w:uiPriority w:val="99"/>
    <w:unhideWhenUsed/>
    <w:rPr>
      <w:vertAlign w:val="superscript"/>
    </w:rPr>
  </w:style>
  <w:style w:type="paragraph" w:styleId="990">
    <w:name w:val="endnote text"/>
    <w:basedOn w:val="808"/>
    <w:link w:val="991"/>
    <w:uiPriority w:val="99"/>
    <w:semiHidden/>
    <w:unhideWhenUsed/>
    <w:rPr>
      <w:sz w:val="20"/>
    </w:rPr>
  </w:style>
  <w:style w:type="character" w:styleId="991" w:customStyle="1">
    <w:name w:val="Текст концевой сноски Знак"/>
    <w:link w:val="990"/>
    <w:uiPriority w:val="99"/>
    <w:rPr>
      <w:sz w:val="20"/>
    </w:rPr>
  </w:style>
  <w:style w:type="character" w:styleId="992">
    <w:name w:val="endnote reference"/>
    <w:uiPriority w:val="99"/>
    <w:semiHidden/>
    <w:unhideWhenUsed/>
    <w:rPr>
      <w:vertAlign w:val="superscript"/>
    </w:rPr>
  </w:style>
  <w:style w:type="paragraph" w:styleId="993">
    <w:name w:val="toc 1"/>
    <w:basedOn w:val="808"/>
    <w:next w:val="808"/>
    <w:uiPriority w:val="39"/>
    <w:unhideWhenUsed/>
    <w:pPr>
      <w:spacing w:after="57"/>
    </w:pPr>
  </w:style>
  <w:style w:type="paragraph" w:styleId="994">
    <w:name w:val="toc 2"/>
    <w:basedOn w:val="808"/>
    <w:next w:val="808"/>
    <w:uiPriority w:val="39"/>
    <w:unhideWhenUsed/>
    <w:pPr>
      <w:ind w:left="283"/>
      <w:spacing w:after="57"/>
    </w:pPr>
  </w:style>
  <w:style w:type="paragraph" w:styleId="995">
    <w:name w:val="toc 3"/>
    <w:basedOn w:val="808"/>
    <w:next w:val="808"/>
    <w:uiPriority w:val="39"/>
    <w:unhideWhenUsed/>
    <w:pPr>
      <w:ind w:left="567"/>
      <w:spacing w:after="57"/>
    </w:pPr>
  </w:style>
  <w:style w:type="paragraph" w:styleId="996">
    <w:name w:val="toc 4"/>
    <w:basedOn w:val="808"/>
    <w:next w:val="808"/>
    <w:uiPriority w:val="39"/>
    <w:unhideWhenUsed/>
    <w:pPr>
      <w:ind w:left="850"/>
      <w:spacing w:after="57"/>
    </w:pPr>
  </w:style>
  <w:style w:type="paragraph" w:styleId="997">
    <w:name w:val="toc 5"/>
    <w:basedOn w:val="808"/>
    <w:next w:val="808"/>
    <w:uiPriority w:val="39"/>
    <w:unhideWhenUsed/>
    <w:pPr>
      <w:ind w:left="1134"/>
      <w:spacing w:after="57"/>
    </w:pPr>
  </w:style>
  <w:style w:type="paragraph" w:styleId="998">
    <w:name w:val="toc 6"/>
    <w:basedOn w:val="808"/>
    <w:next w:val="808"/>
    <w:uiPriority w:val="39"/>
    <w:unhideWhenUsed/>
    <w:pPr>
      <w:ind w:left="1417"/>
      <w:spacing w:after="57"/>
    </w:pPr>
  </w:style>
  <w:style w:type="paragraph" w:styleId="999">
    <w:name w:val="toc 7"/>
    <w:basedOn w:val="808"/>
    <w:next w:val="808"/>
    <w:uiPriority w:val="39"/>
    <w:unhideWhenUsed/>
    <w:pPr>
      <w:ind w:left="1701"/>
      <w:spacing w:after="57"/>
    </w:pPr>
  </w:style>
  <w:style w:type="paragraph" w:styleId="1000">
    <w:name w:val="toc 8"/>
    <w:basedOn w:val="808"/>
    <w:next w:val="808"/>
    <w:uiPriority w:val="39"/>
    <w:unhideWhenUsed/>
    <w:pPr>
      <w:ind w:left="1984"/>
      <w:spacing w:after="57"/>
    </w:pPr>
  </w:style>
  <w:style w:type="paragraph" w:styleId="1001">
    <w:name w:val="toc 9"/>
    <w:basedOn w:val="808"/>
    <w:next w:val="808"/>
    <w:uiPriority w:val="39"/>
    <w:unhideWhenUsed/>
    <w:pPr>
      <w:ind w:left="2268"/>
      <w:spacing w:after="57"/>
    </w:pPr>
  </w:style>
  <w:style w:type="paragraph" w:styleId="1002">
    <w:name w:val="TOC Heading"/>
    <w:uiPriority w:val="39"/>
    <w:unhideWhenUsed/>
    <w:rPr>
      <w:lang w:eastAsia="zh-CN"/>
    </w:rPr>
  </w:style>
  <w:style w:type="paragraph" w:styleId="1003">
    <w:name w:val="table of figures"/>
    <w:basedOn w:val="808"/>
    <w:next w:val="808"/>
    <w:uiPriority w:val="99"/>
    <w:unhideWhenUsed/>
  </w:style>
  <w:style w:type="character" w:styleId="1004">
    <w:name w:val="page number"/>
    <w:basedOn w:val="818"/>
  </w:style>
  <w:style w:type="character" w:styleId="1005">
    <w:name w:val="annotation reference"/>
    <w:semiHidden/>
    <w:rPr>
      <w:sz w:val="16"/>
      <w:szCs w:val="16"/>
    </w:rPr>
  </w:style>
  <w:style w:type="paragraph" w:styleId="1006">
    <w:name w:val="annotation text"/>
    <w:basedOn w:val="808"/>
    <w:semiHidden/>
    <w:rPr>
      <w:sz w:val="20"/>
      <w:szCs w:val="20"/>
    </w:rPr>
  </w:style>
  <w:style w:type="paragraph" w:styleId="1007">
    <w:name w:val="annotation subject"/>
    <w:basedOn w:val="1006"/>
    <w:next w:val="1006"/>
    <w:semiHidden/>
    <w:rPr>
      <w:b/>
      <w:bCs/>
    </w:rPr>
  </w:style>
  <w:style w:type="paragraph" w:styleId="1008">
    <w:name w:val="Balloon Text"/>
    <w:basedOn w:val="808"/>
    <w:semiHidden/>
    <w:rPr>
      <w:rFonts w:ascii="Tahoma" w:hAnsi="Tahoma" w:cs="Tahoma"/>
      <w:sz w:val="16"/>
      <w:szCs w:val="16"/>
    </w:rPr>
  </w:style>
  <w:style w:type="paragraph" w:styleId="1009" w:customStyle="1">
    <w:name w:val="Название1"/>
    <w:basedOn w:val="808"/>
    <w:qFormat/>
    <w:pPr>
      <w:ind w:right="27"/>
      <w:jc w:val="center"/>
    </w:pPr>
    <w:rPr>
      <w:b/>
      <w:sz w:val="28"/>
    </w:rPr>
  </w:style>
  <w:style w:type="paragraph" w:styleId="1010">
    <w:name w:val="Body Text Indent"/>
    <w:basedOn w:val="808"/>
    <w:link w:val="1047"/>
    <w:pPr>
      <w:ind w:firstLine="720"/>
      <w:jc w:val="both"/>
    </w:pPr>
    <w:rPr>
      <w:sz w:val="28"/>
    </w:rPr>
  </w:style>
  <w:style w:type="paragraph" w:styleId="1011">
    <w:name w:val="Body Text"/>
    <w:basedOn w:val="808"/>
    <w:link w:val="1048"/>
    <w:pPr>
      <w:jc w:val="right"/>
    </w:pPr>
    <w:rPr>
      <w:sz w:val="28"/>
    </w:rPr>
  </w:style>
  <w:style w:type="paragraph" w:styleId="1012" w:customStyle="1">
    <w:name w:val="заголовок 2"/>
    <w:basedOn w:val="808"/>
    <w:next w:val="808"/>
    <w:pPr>
      <w:jc w:val="center"/>
      <w:keepNext/>
      <w:outlineLvl w:val="1"/>
    </w:pPr>
    <w:rPr>
      <w:sz w:val="28"/>
      <w:szCs w:val="28"/>
    </w:rPr>
  </w:style>
  <w:style w:type="character" w:styleId="1013">
    <w:name w:val="Strong"/>
    <w:qFormat/>
    <w:rPr>
      <w:b/>
      <w:bCs/>
    </w:rPr>
  </w:style>
  <w:style w:type="paragraph" w:styleId="1014">
    <w:name w:val="Plain Text"/>
    <w:basedOn w:val="808"/>
    <w:rPr>
      <w:rFonts w:ascii="Courier New" w:hAnsi="Courier New" w:cs="Courier New"/>
      <w:sz w:val="20"/>
      <w:szCs w:val="20"/>
    </w:rPr>
  </w:style>
  <w:style w:type="paragraph" w:styleId="1015">
    <w:name w:val="Body Text Indent 3"/>
    <w:basedOn w:val="808"/>
    <w:pPr>
      <w:ind w:left="283"/>
      <w:spacing w:after="120"/>
    </w:pPr>
    <w:rPr>
      <w:sz w:val="16"/>
      <w:szCs w:val="16"/>
    </w:rPr>
  </w:style>
  <w:style w:type="paragraph" w:styleId="1016">
    <w:name w:val="Body Text 2"/>
    <w:basedOn w:val="808"/>
    <w:pPr>
      <w:spacing w:after="120" w:line="480" w:lineRule="auto"/>
    </w:pPr>
  </w:style>
  <w:style w:type="character" w:styleId="1017" w:customStyle="1">
    <w:name w:val="Заголовок 5 Знак"/>
    <w:link w:val="813"/>
    <w:rPr>
      <w:sz w:val="28"/>
      <w:szCs w:val="32"/>
    </w:rPr>
  </w:style>
  <w:style w:type="paragraph" w:styleId="1018" w:customStyle="1">
    <w:name w:val="Normal1"/>
    <w:pPr>
      <w:spacing w:before="100" w:after="100"/>
    </w:pPr>
    <w:rPr>
      <w:sz w:val="24"/>
    </w:rPr>
  </w:style>
  <w:style w:type="character" w:styleId="1019" w:customStyle="1">
    <w:name w:val="Font Style24"/>
    <w:rPr>
      <w:rFonts w:ascii="Times New Roman" w:hAnsi="Times New Roman" w:cs="Times New Roman"/>
      <w:i/>
      <w:iCs/>
      <w:sz w:val="26"/>
      <w:szCs w:val="26"/>
    </w:rPr>
  </w:style>
  <w:style w:type="character" w:styleId="1020" w:customStyle="1">
    <w:name w:val="Font Style18"/>
    <w:rPr>
      <w:rFonts w:ascii="Times New Roman" w:hAnsi="Times New Roman" w:cs="Times New Roman"/>
      <w:sz w:val="22"/>
      <w:szCs w:val="22"/>
    </w:rPr>
  </w:style>
  <w:style w:type="paragraph" w:styleId="1021" w:customStyle="1">
    <w:name w:val="Normal1"/>
    <w:pPr>
      <w:spacing w:before="100" w:after="100"/>
    </w:pPr>
    <w:rPr>
      <w:sz w:val="24"/>
    </w:rPr>
  </w:style>
  <w:style w:type="paragraph" w:styleId="1022" w:customStyle="1">
    <w:name w:val="Дата создания"/>
    <w:rPr>
      <w:sz w:val="24"/>
      <w:szCs w:val="24"/>
    </w:rPr>
  </w:style>
  <w:style w:type="paragraph" w:styleId="1023" w:customStyle="1">
    <w:name w:val="Имя файла"/>
    <w:rPr>
      <w:sz w:val="24"/>
      <w:szCs w:val="24"/>
    </w:rPr>
  </w:style>
  <w:style w:type="paragraph" w:styleId="1024">
    <w:name w:val="Block Text"/>
    <w:basedOn w:val="808"/>
    <w:pPr>
      <w:ind w:left="-426" w:right="-1333"/>
      <w:jc w:val="both"/>
    </w:pPr>
    <w:rPr>
      <w:sz w:val="28"/>
      <w:szCs w:val="20"/>
    </w:rPr>
  </w:style>
  <w:style w:type="paragraph" w:styleId="1025" w:customStyle="1">
    <w:name w:val="Письмо главы"/>
    <w:basedOn w:val="808"/>
    <w:pPr>
      <w:ind w:firstLine="709"/>
      <w:jc w:val="both"/>
    </w:pPr>
    <w:rPr>
      <w:sz w:val="28"/>
      <w:szCs w:val="20"/>
    </w:rPr>
  </w:style>
  <w:style w:type="paragraph" w:styleId="1026">
    <w:name w:val="List"/>
    <w:basedOn w:val="808"/>
    <w:pPr>
      <w:ind w:left="283" w:hanging="283"/>
    </w:pPr>
    <w:rPr>
      <w:sz w:val="28"/>
      <w:szCs w:val="20"/>
    </w:rPr>
  </w:style>
  <w:style w:type="paragraph" w:styleId="1027">
    <w:name w:val="Body Text First Indent"/>
    <w:basedOn w:val="1011"/>
    <w:pPr>
      <w:ind w:firstLine="210"/>
      <w:jc w:val="left"/>
      <w:spacing w:after="120"/>
    </w:pPr>
    <w:rPr>
      <w:szCs w:val="20"/>
    </w:rPr>
  </w:style>
  <w:style w:type="paragraph" w:styleId="1028">
    <w:name w:val="Body Text Indent 2"/>
    <w:basedOn w:val="808"/>
    <w:pPr>
      <w:ind w:left="283"/>
      <w:spacing w:after="120" w:line="480" w:lineRule="auto"/>
    </w:pPr>
    <w:rPr>
      <w:sz w:val="28"/>
      <w:szCs w:val="20"/>
    </w:rPr>
  </w:style>
  <w:style w:type="paragraph" w:styleId="1029" w:customStyle="1">
    <w:name w:val="ConsNormal"/>
    <w:pPr>
      <w:ind w:firstLine="720"/>
      <w:widowControl w:val="off"/>
    </w:pPr>
    <w:rPr>
      <w:rFonts w:ascii="Arial" w:hAnsi="Arial"/>
    </w:rPr>
  </w:style>
  <w:style w:type="paragraph" w:styleId="1030" w:customStyle="1">
    <w:name w:val="Дата печати"/>
    <w:rPr>
      <w:sz w:val="24"/>
      <w:szCs w:val="24"/>
    </w:rPr>
  </w:style>
  <w:style w:type="paragraph" w:styleId="1031">
    <w:name w:val="Normal (Web)"/>
    <w:basedOn w:val="808"/>
    <w:pPr>
      <w:spacing w:before="100" w:beforeAutospacing="1" w:after="100" w:afterAutospacing="1"/>
    </w:pPr>
    <w:rPr>
      <w:color w:val="000000"/>
    </w:rPr>
  </w:style>
  <w:style w:type="paragraph" w:styleId="1032">
    <w:name w:val="Body Text 3"/>
    <w:basedOn w:val="808"/>
    <w:pPr>
      <w:spacing w:after="120"/>
    </w:pPr>
    <w:rPr>
      <w:sz w:val="16"/>
      <w:szCs w:val="16"/>
    </w:rPr>
  </w:style>
  <w:style w:type="paragraph" w:styleId="1033" w:customStyle="1">
    <w:name w:val="Автозамена"/>
    <w:rPr>
      <w:sz w:val="24"/>
      <w:szCs w:val="24"/>
    </w:rPr>
  </w:style>
  <w:style w:type="paragraph" w:styleId="1034" w:customStyle="1">
    <w:name w:val="администрации Новосибирской обла"/>
    <w:rPr>
      <w:sz w:val="28"/>
    </w:rPr>
  </w:style>
  <w:style w:type="paragraph" w:styleId="1035">
    <w:name w:val="List Bullet 2"/>
    <w:basedOn w:val="808"/>
    <w:pPr>
      <w:jc w:val="both"/>
    </w:pPr>
    <w:rPr>
      <w:szCs w:val="20"/>
      <w:lang w:eastAsia="en-US"/>
    </w:rPr>
  </w:style>
  <w:style w:type="paragraph" w:styleId="1036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1037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1038" w:customStyle="1">
    <w:name w:val="Знак1"/>
    <w:basedOn w:val="80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1039" w:customStyle="1">
    <w:name w:val="Знак11"/>
    <w:basedOn w:val="80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1040" w:customStyle="1">
    <w:name w:val="nodecaration"/>
    <w:basedOn w:val="808"/>
    <w:pPr>
      <w:spacing w:after="360"/>
    </w:pPr>
    <w:rPr>
      <w:sz w:val="17"/>
      <w:szCs w:val="17"/>
    </w:rPr>
  </w:style>
  <w:style w:type="paragraph" w:styleId="1041" w:customStyle="1">
    <w:name w:val="Знак"/>
    <w:basedOn w:val="80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1042" w:customStyle="1">
    <w:name w:val="Знак2"/>
    <w:basedOn w:val="808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character" w:styleId="1043" w:customStyle="1">
    <w:name w:val="Верхний колонтитул Знак"/>
    <w:link w:val="854"/>
    <w:uiPriority w:val="99"/>
    <w:rPr>
      <w:sz w:val="24"/>
      <w:szCs w:val="24"/>
      <w:lang w:val="ru-RU" w:eastAsia="ru-RU" w:bidi="ar-SA"/>
    </w:rPr>
  </w:style>
  <w:style w:type="paragraph" w:styleId="1044" w:customStyle="1">
    <w:name w:val="Body Text 21"/>
    <w:basedOn w:val="1021"/>
    <w:pPr>
      <w:jc w:val="both"/>
      <w:spacing w:before="0" w:after="0" w:line="240" w:lineRule="atLeast"/>
    </w:pPr>
  </w:style>
  <w:style w:type="character" w:styleId="1045" w:customStyle="1">
    <w:name w:val="Font Style13"/>
    <w:rPr>
      <w:rFonts w:ascii="Times New Roman" w:hAnsi="Times New Roman" w:cs="Times New Roman"/>
      <w:sz w:val="26"/>
      <w:szCs w:val="26"/>
    </w:rPr>
  </w:style>
  <w:style w:type="character" w:styleId="1046" w:customStyle="1">
    <w:name w:val="Знак Знак5"/>
    <w:rPr>
      <w:rFonts w:ascii="Times New Roman" w:hAnsi="Times New Roman" w:cs="Times New Roman"/>
      <w:sz w:val="28"/>
      <w:szCs w:val="28"/>
      <w:lang w:val="en-US" w:eastAsia="ru-RU"/>
    </w:rPr>
  </w:style>
  <w:style w:type="character" w:styleId="1047" w:customStyle="1">
    <w:name w:val="Основной текст с отступом Знак"/>
    <w:link w:val="1010"/>
    <w:rPr>
      <w:sz w:val="28"/>
      <w:szCs w:val="24"/>
    </w:rPr>
  </w:style>
  <w:style w:type="character" w:styleId="1048" w:customStyle="1">
    <w:name w:val="Основной текст Знак"/>
    <w:link w:val="1011"/>
    <w:rPr>
      <w:sz w:val="28"/>
      <w:szCs w:val="24"/>
    </w:rPr>
  </w:style>
  <w:style w:type="character" w:styleId="1049" w:customStyle="1">
    <w:name w:val="Нижний колонтитул Знак"/>
    <w:link w:val="856"/>
    <w:uiPriority w:val="99"/>
    <w:rPr>
      <w:sz w:val="24"/>
      <w:szCs w:val="24"/>
    </w:rPr>
  </w:style>
  <w:style w:type="paragraph" w:styleId="1050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szCs w:val="24"/>
    </w:rPr>
  </w:style>
  <w:style w:type="paragraph" w:styleId="1051" w:customStyle="1">
    <w:name w:val="Standard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ahoma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NIITO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</dc:title>
  <dc:creator>Asmorodnikov</dc:creator>
  <cp:lastModifiedBy>razev</cp:lastModifiedBy>
  <cp:revision>41</cp:revision>
  <dcterms:created xsi:type="dcterms:W3CDTF">2024-06-10T03:13:00Z</dcterms:created>
  <dcterms:modified xsi:type="dcterms:W3CDTF">2026-03-31T05:40:02Z</dcterms:modified>
  <cp:version>1048576</cp:version>
</cp:coreProperties>
</file>