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emf" ContentType="image/x-emf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52425" cy="428813"/>
                <wp:effectExtent l="0" t="0" r="0" b="9525"/>
                <wp:docPr id="1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>
                          <a:extLst>
                            <a:ext uri="{96DAC541-7B7A-43D3-8B79-37D633B846F1}">
                              <asvg:svgBlip xmlns:asvg="http://schemas.microsoft.com/office/drawing/2016/SVG/main" r:embed="rId12"/>
                            </a:ext>
                          </a:extLst>
                        </a:blip>
                        <a:stretch/>
                      </pic:blipFill>
                      <pic:spPr bwMode="auto">
                        <a:xfrm>
                          <a:off x="0" y="0"/>
                          <a:ext cx="361927" cy="4403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7.75pt;height:33.76pt;mso-wrap-distance-left:0.00pt;mso-wrap-distance-top:0.00pt;mso-wrap-distance-right:0.00pt;mso-wrap-distance-bottom:0.00pt;" stroked="f">
                <v:path textboxrect="0,0,0,0"/>
                <v:imagedata r:id="rId1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438275" cy="397593"/>
                <wp:effectExtent l="0" t="0" r="0" b="2540"/>
                <wp:docPr id="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>
                          <a:extLst>
                            <a:ext uri="{96DAC541-7B7A-43D3-8B79-37D633B846F1}">
                              <asvg:svgBlip xmlns:asvg="http://schemas.microsoft.com/office/drawing/2016/SVG/main" r:embed="rId14"/>
                            </a:ext>
                          </a:extLst>
                        </a:blip>
                        <a:stretch/>
                      </pic:blipFill>
                      <pic:spPr bwMode="auto">
                        <a:xfrm>
                          <a:off x="0" y="0"/>
                          <a:ext cx="1510437" cy="417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113.25pt;height:31.31pt;mso-wrap-distance-left:0.00pt;mso-wrap-distance-top:0.00pt;mso-wrap-distance-right:0.00pt;mso-wrap-distance-bottom:0.00pt;" stroked="f">
                <v:path textboxrect="0,0,0,0"/>
                <v:imagedata r:id="rId1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ходе р</w:t>
      </w:r>
      <w:r>
        <w:rPr>
          <w:rFonts w:ascii="Times New Roman" w:hAnsi="Times New Roman" w:cs="Times New Roman"/>
          <w:sz w:val="28"/>
          <w:szCs w:val="28"/>
        </w:rPr>
        <w:t xml:space="preserve">еализаци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2026 году </w:t>
      </w:r>
      <w:r>
        <w:rPr>
          <w:rFonts w:ascii="Times New Roman" w:hAnsi="Times New Roman" w:cs="Times New Roman"/>
          <w:sz w:val="28"/>
          <w:szCs w:val="28"/>
        </w:rPr>
        <w:t xml:space="preserve">р</w:t>
      </w:r>
      <w:r>
        <w:rPr>
          <w:rFonts w:ascii="Times New Roman" w:hAnsi="Times New Roman" w:cs="Times New Roman"/>
          <w:sz w:val="28"/>
          <w:szCs w:val="28"/>
        </w:rPr>
        <w:t xml:space="preserve">егиональн</w:t>
      </w:r>
      <w:r>
        <w:rPr>
          <w:rFonts w:ascii="Times New Roman" w:hAnsi="Times New Roman" w:cs="Times New Roman"/>
          <w:sz w:val="28"/>
          <w:szCs w:val="28"/>
        </w:rPr>
        <w:t xml:space="preserve">ой</w:t>
      </w:r>
      <w:r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 xml:space="preserve">ы</w:t>
      </w:r>
      <w:r>
        <w:rPr>
          <w:rFonts w:ascii="Times New Roman" w:hAnsi="Times New Roman" w:cs="Times New Roman"/>
          <w:sz w:val="28"/>
          <w:szCs w:val="28"/>
        </w:rPr>
        <w:t xml:space="preserve"> «Модернизация первичного звена здравоохранения Новосибирской области на 2021-20</w:t>
      </w:r>
      <w:r>
        <w:rPr>
          <w:rFonts w:ascii="Times New Roman" w:hAnsi="Times New Roman" w:cs="Times New Roman"/>
          <w:sz w:val="28"/>
          <w:szCs w:val="28"/>
        </w:rPr>
        <w:t xml:space="preserve">30</w:t>
      </w:r>
      <w:r>
        <w:rPr>
          <w:rFonts w:ascii="Times New Roman" w:hAnsi="Times New Roman" w:cs="Times New Roman"/>
          <w:sz w:val="28"/>
          <w:szCs w:val="28"/>
        </w:rPr>
        <w:t xml:space="preserve"> годы» (далее – Программа), утвержден</w:t>
      </w:r>
      <w:r>
        <w:rPr>
          <w:rFonts w:ascii="Times New Roman" w:hAnsi="Times New Roman" w:cs="Times New Roman"/>
          <w:sz w:val="28"/>
          <w:szCs w:val="28"/>
        </w:rPr>
        <w:t xml:space="preserve">ной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Новосибирско</w:t>
      </w:r>
      <w:r>
        <w:rPr>
          <w:rFonts w:ascii="Times New Roman" w:hAnsi="Times New Roman" w:cs="Times New Roman"/>
          <w:sz w:val="28"/>
          <w:szCs w:val="28"/>
        </w:rPr>
        <w:t xml:space="preserve">й</w:t>
      </w:r>
      <w:r>
        <w:rPr>
          <w:rFonts w:ascii="Times New Roman" w:hAnsi="Times New Roman" w:cs="Times New Roman"/>
          <w:sz w:val="28"/>
          <w:szCs w:val="28"/>
        </w:rPr>
        <w:t xml:space="preserve"> области от 14.12.2020 № 513-п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</w:t>
      </w:r>
      <w:r>
        <w:rPr>
          <w:rFonts w:ascii="Times New Roman" w:hAnsi="Times New Roman" w:cs="Times New Roman"/>
          <w:i/>
          <w:sz w:val="28"/>
          <w:szCs w:val="28"/>
        </w:rPr>
        <w:t xml:space="preserve">по состоянию на </w:t>
      </w:r>
      <w:r>
        <w:rPr>
          <w:rFonts w:ascii="Times New Roman" w:hAnsi="Times New Roman" w:cs="Times New Roman"/>
          <w:i/>
          <w:sz w:val="28"/>
          <w:szCs w:val="28"/>
        </w:rPr>
        <w:t xml:space="preserve">01.05</w:t>
      </w:r>
      <w:r>
        <w:rPr>
          <w:rFonts w:ascii="Times New Roman" w:hAnsi="Times New Roman" w:cs="Times New Roman"/>
          <w:i/>
          <w:sz w:val="28"/>
          <w:szCs w:val="28"/>
        </w:rPr>
        <w:t xml:space="preserve">.202</w:t>
      </w:r>
      <w:r>
        <w:rPr>
          <w:rFonts w:ascii="Times New Roman" w:hAnsi="Times New Roman" w:cs="Times New Roman"/>
          <w:i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 xml:space="preserve">)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38"/>
        <w:ind w:left="0" w:firstLine="709"/>
        <w:jc w:val="both"/>
        <w:spacing w:after="120" w:line="240" w:lineRule="auto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Осуществляются процедуры закупки: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38"/>
        <w:ind w:left="0" w:firstLine="709"/>
        <w:jc w:val="both"/>
        <w:spacing w:after="120" w:line="240" w:lineRule="auto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>
        <w:rPr>
          <w:rFonts w:ascii="Times New Roman" w:hAnsi="Times New Roman" w:cs="Times New Roman"/>
          <w:sz w:val="28"/>
          <w:szCs w:val="28"/>
        </w:rPr>
        <w:t xml:space="preserve">работ </w:t>
      </w:r>
      <w:r>
        <w:rPr>
          <w:rFonts w:ascii="Times New Roman" w:hAnsi="Times New Roman" w:cs="Times New Roman"/>
          <w:sz w:val="28"/>
          <w:szCs w:val="28"/>
        </w:rPr>
        <w:t xml:space="preserve">по капитальному ремонту</w:t>
      </w:r>
      <w:r>
        <w:rPr>
          <w:rFonts w:ascii="Times New Roman" w:hAnsi="Times New Roman" w:cs="Times New Roman"/>
          <w:sz w:val="28"/>
          <w:szCs w:val="28"/>
        </w:rPr>
        <w:t xml:space="preserve"> объектов здравоохранения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W w:w="9916" w:type="dxa"/>
        <w:tblInd w:w="-5" w:type="dxa"/>
        <w:tblLook w:val="04A0" w:firstRow="1" w:lastRow="0" w:firstColumn="1" w:lastColumn="0" w:noHBand="0" w:noVBand="1"/>
      </w:tblPr>
      <w:tblGrid>
        <w:gridCol w:w="2694"/>
        <w:gridCol w:w="5668"/>
        <w:gridCol w:w="1554"/>
      </w:tblGrid>
      <w:tr>
        <w:tblPrEx/>
        <w:trPr>
          <w:trHeight w:val="81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Наименование медицинской организации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Наименование объекта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Период реализации, годы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40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3014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ГБУЗ НСО «Кар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гатская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ЦРБ»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6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поликлиническо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отделени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по адресу: Новосибирская область, г. Каргат, ул. Трудовая, 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40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ГБУЗ НСО «Линевская РБ»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6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лечебный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корпус, расположенн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ый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по адресу: Новосибирская область,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Искитимск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район,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р.п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. Линево, ул. Весенняя, д.6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2026-2027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40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269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ГБУЗ НСО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Венгеровская ЦРБ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6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лечебный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корпус, расположенн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ый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по адресу: 632241, Новосибирская область, Венгеровский район, село Венгерово, ул. Ленина, д. 91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2026-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</w:tbl>
    <w:p>
      <w:pPr>
        <w:pStyle w:val="738"/>
        <w:ind w:left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sz w:val="28"/>
          <w:szCs w:val="28"/>
        </w:rPr>
        <w:t xml:space="preserve">7 единиц медицинского оборудования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пять</w:t>
      </w:r>
      <w:bookmarkStart w:id="0" w:name="_GoBack"/>
      <w:r/>
      <w:bookmarkEnd w:id="0"/>
      <w:r>
        <w:rPr>
          <w:rFonts w:ascii="Times New Roman" w:hAnsi="Times New Roman" w:cs="Times New Roman"/>
          <w:sz w:val="28"/>
          <w:szCs w:val="28"/>
        </w:rPr>
        <w:t xml:space="preserve"> государственны</w:t>
      </w:r>
      <w:r>
        <w:rPr>
          <w:rFonts w:ascii="Times New Roman" w:hAnsi="Times New Roman" w:cs="Times New Roman"/>
          <w:sz w:val="28"/>
          <w:szCs w:val="28"/>
        </w:rPr>
        <w:t xml:space="preserve">х</w:t>
      </w:r>
      <w:r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 xml:space="preserve">й</w:t>
      </w:r>
      <w:r>
        <w:rPr>
          <w:rFonts w:ascii="Times New Roman" w:hAnsi="Times New Roman" w:cs="Times New Roman"/>
          <w:sz w:val="28"/>
          <w:szCs w:val="28"/>
        </w:rPr>
        <w:t xml:space="preserve"> Новосибирской области, подведомственны</w:t>
      </w:r>
      <w:r>
        <w:rPr>
          <w:rFonts w:ascii="Times New Roman" w:hAnsi="Times New Roman" w:cs="Times New Roman"/>
          <w:sz w:val="28"/>
          <w:szCs w:val="28"/>
        </w:rPr>
        <w:t xml:space="preserve">х</w:t>
      </w:r>
      <w:r>
        <w:rPr>
          <w:rFonts w:ascii="Times New Roman" w:hAnsi="Times New Roman" w:cs="Times New Roman"/>
          <w:sz w:val="28"/>
          <w:szCs w:val="28"/>
        </w:rPr>
        <w:t xml:space="preserve"> министерству здравоохранения Новосибирской области (далее – медицинские организации)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68"/>
        <w:gridCol w:w="1560"/>
        <w:gridCol w:w="2410"/>
        <w:gridCol w:w="2693"/>
        <w:gridCol w:w="992"/>
      </w:tblGrid>
      <w:tr>
        <w:tblPrEx/>
        <w:trPr>
          <w:trHeight w:val="81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Наименование медицинской организации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Наименование структурного подразделения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Адрес поставки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Наименование медицинского изделия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 (оборудования)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Кол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-во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, ед.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r>
          </w:p>
        </w:tc>
      </w:tr>
      <w:tr>
        <w:tblPrEx/>
        <w:trPr>
          <w:trHeight w:val="843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ГБУЗ НСО «Коченевская ЦРБ»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поликлиническое отделение 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Чикск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ой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 участков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ой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 больниц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ы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Новосибирская область, м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униципальный район 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Коченевский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р.п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Чик, 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ул. 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П. Морозова, 4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ппарат рентгеновский для флюорографии легких цифровой или аналоговый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r>
          </w:p>
        </w:tc>
      </w:tr>
      <w:tr>
        <w:tblPrEx/>
        <w:trPr>
          <w:trHeight w:val="104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ГБУЗ НСО 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«НКРБ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 №1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right w:val="single" w:color="000000" w:sz="4" w:space="0"/>
            </w:tcBorders>
            <w:tcW w:w="1560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оликлиника с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. 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Барышево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right w:val="single" w:color="000000" w:sz="4" w:space="0"/>
            </w:tcBorders>
            <w:tcW w:w="2410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Новосибирская 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бласть, 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м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униципальный район Новосибирский, 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с. 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Барышево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ул. 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Ленина, 245А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ппарат рентгеновский 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маммографический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 цифровой или аналоговый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</w:p>
        </w:tc>
      </w:tr>
      <w:tr>
        <w:tblPrEx/>
        <w:trPr>
          <w:trHeight w:val="630"/>
        </w:trPr>
        <w:tc>
          <w:tcPr>
            <w:shd w:val="clear" w:color="auto" w:fill="auto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2268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560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2410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ппарат рентгеновский для флюорографии 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легких цифровой или аналоговый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</w:p>
        </w:tc>
      </w:tr>
      <w:tr>
        <w:tblPrEx/>
        <w:trPr>
          <w:trHeight w:val="914"/>
        </w:trPr>
        <w:tc>
          <w:tcPr>
            <w:shd w:val="clear" w:color="auto" w:fill="auto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ГБУЗ НСО «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Искитимская 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ЦРБ»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оликлиника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 № 2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000000" w:sz="4" w:space="0"/>
            </w:tcBorders>
            <w:tcW w:w="241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Новосибирская 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бласть, 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Искитим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, Микрорайон Южный, 66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ппарат рентгеновский для флюорографии легких цифровой или аналоговый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</w:p>
        </w:tc>
      </w:tr>
      <w:tr>
        <w:tblPrEx/>
        <w:trPr>
          <w:trHeight w:val="1142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ГБУЗ НСО «Болотнинская ЦРБ»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поликлиническое отделение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Новосибирская область, муниципальный район 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Болотнинский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, г. Болотное, ул. Горького, 8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ппарат рентгеновский для флюорографии легких цифровой или аналоговый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</w:p>
        </w:tc>
      </w:tr>
      <w:tr>
        <w:tblPrEx/>
        <w:trPr>
          <w:trHeight w:val="801"/>
        </w:trPr>
        <w:tc>
          <w:tcPr>
            <w:shd w:val="clear" w:color="auto" w:fill="auto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ГБУЗ НСО  «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Консультативно-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диагностическая поликлиника № 2»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поликлиник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000000" w:sz="4" w:space="0"/>
            </w:tcBorders>
            <w:tcW w:w="241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Новосибирская 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бласть, 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г. 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Новосибирск, Проспект Морской, 25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ппарат рентгеновский для флюорографии легких цифровой или аналоговый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</w:p>
        </w:tc>
      </w:tr>
      <w:tr>
        <w:tblPrEx/>
        <w:trPr>
          <w:trHeight w:val="870"/>
        </w:trPr>
        <w:tc>
          <w:tcPr>
            <w:shd w:val="clear" w:color="auto" w:fill="auto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2268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поликлиник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Новосибирская 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бласть, 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г. 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Новосибирск,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 ул. 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Русская, 37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ппарат рентгеновский для флюорографии легких цифровой или аналоговый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</w:p>
        </w:tc>
      </w:tr>
    </w:tbl>
    <w:p>
      <w:pPr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мероприятия по строительству новых объектов здравоохранения осуществляется согласование с Министерством здравоохранения Российской Федерации медико-технического задания на выполнение проектных работ по объекту: «</w:t>
      </w:r>
      <w:r>
        <w:rPr>
          <w:rFonts w:ascii="Times New Roman" w:hAnsi="Times New Roman" w:cs="Times New Roman"/>
          <w:sz w:val="28"/>
          <w:szCs w:val="28"/>
        </w:rPr>
        <w:t xml:space="preserve">Здание поликлиники в г. Карасук (ГБУЗ НСО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Карасукская ЦРБ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)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, для последующего </w:t>
      </w:r>
      <w:r>
        <w:rPr>
          <w:rFonts w:ascii="Times New Roman" w:hAnsi="Times New Roman" w:cs="Times New Roman"/>
          <w:sz w:val="28"/>
          <w:szCs w:val="28"/>
        </w:rPr>
        <w:t xml:space="preserve">перехода на этап проектных работ.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38"/>
        <w:ind w:left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</w:p>
    <w:p>
      <w:pPr>
        <w:pStyle w:val="738"/>
        <w:ind w:left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</w:p>
    <w:p>
      <w:pPr>
        <w:pStyle w:val="738"/>
        <w:ind w:left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</w:p>
    <w:p>
      <w:pPr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headerReference w:type="default" r:id="rId9"/>
      <w:footnotePr/>
      <w:endnotePr/>
      <w:type w:val="nextPage"/>
      <w:pgSz w:w="11906" w:h="16838" w:orient="portrait"/>
      <w:pgMar w:top="1134" w:right="567" w:bottom="1134" w:left="1418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887678809"/>
      <w:docPartObj>
        <w:docPartGallery w:val="Page Numbers (Top of Page)"/>
        <w:docPartUnique w:val="true"/>
      </w:docPartObj>
      <w:rPr/>
    </w:sdtPr>
    <w:sdtContent>
      <w:p>
        <w:pPr>
          <w:pStyle w:val="72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>
    <w:pPr>
      <w:pStyle w:val="723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8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­"/>
      <w:lvlJc w:val="left"/>
      <w:pPr>
        <w:ind w:left="1287" w:hanging="360"/>
      </w:pPr>
      <w:rPr>
        <w:rFonts w:hint="default" w:ascii="Courier New" w:hAnsi="Courier New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­"/>
      <w:lvlJc w:val="left"/>
      <w:pPr>
        <w:ind w:left="1789" w:hanging="360"/>
      </w:pPr>
      <w:rPr>
        <w:rFonts w:hint="default" w:ascii="Courier New" w:hAnsi="Courier New"/>
      </w:rPr>
    </w:lvl>
    <w:lvl w:ilvl="1">
      <w:start w:val="1"/>
      <w:numFmt w:val="bullet"/>
      <w:isLgl w:val="false"/>
      <w:suff w:val="tab"/>
      <w:lvlText w:val="o"/>
      <w:lvlJc w:val="left"/>
      <w:pPr>
        <w:ind w:left="250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22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94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66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38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10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82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549" w:hanging="360"/>
      </w:pPr>
      <w:rPr>
        <w:rFonts w:hint="default" w:ascii="Wingdings" w:hAnsi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­"/>
      <w:lvlJc w:val="left"/>
      <w:pPr>
        <w:ind w:left="1429" w:hanging="360"/>
      </w:pPr>
      <w:rPr>
        <w:rFonts w:hint="default" w:ascii="Courier New" w:hAnsi="Courier New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­"/>
      <w:lvlJc w:val="left"/>
      <w:pPr>
        <w:ind w:left="1429" w:hanging="360"/>
      </w:pPr>
      <w:rPr>
        <w:rFonts w:hint="default" w:ascii="Courier New" w:hAnsi="Courier New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196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391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463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535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607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679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751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823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8956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6"/>
  </w:num>
  <w:num w:numId="4">
    <w:abstractNumId w:val="11"/>
  </w:num>
  <w:num w:numId="5">
    <w:abstractNumId w:val="18"/>
  </w:num>
  <w:num w:numId="6">
    <w:abstractNumId w:val="10"/>
  </w:num>
  <w:num w:numId="7">
    <w:abstractNumId w:val="9"/>
  </w:num>
  <w:num w:numId="8">
    <w:abstractNumId w:val="5"/>
  </w:num>
  <w:num w:numId="9">
    <w:abstractNumId w:val="4"/>
  </w:num>
  <w:num w:numId="10">
    <w:abstractNumId w:val="8"/>
  </w:num>
  <w:num w:numId="11">
    <w:abstractNumId w:val="7"/>
  </w:num>
  <w:num w:numId="12">
    <w:abstractNumId w:val="0"/>
  </w:num>
  <w:num w:numId="13">
    <w:abstractNumId w:val="15"/>
  </w:num>
  <w:num w:numId="14">
    <w:abstractNumId w:val="1"/>
  </w:num>
  <w:num w:numId="15">
    <w:abstractNumId w:val="12"/>
  </w:num>
  <w:num w:numId="16">
    <w:abstractNumId w:val="16"/>
  </w:num>
  <w:num w:numId="17">
    <w:abstractNumId w:val="17"/>
  </w:num>
  <w:num w:numId="18">
    <w:abstractNumId w:val="2"/>
  </w:num>
  <w:num w:numId="19">
    <w:abstractNumId w:val="3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716"/>
    <w:next w:val="716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717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716"/>
    <w:next w:val="716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717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716"/>
    <w:next w:val="716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717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716"/>
    <w:next w:val="716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717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716"/>
    <w:next w:val="716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717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716"/>
    <w:next w:val="716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717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716"/>
    <w:next w:val="716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717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716"/>
    <w:next w:val="716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717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716"/>
    <w:next w:val="716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717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716"/>
    <w:next w:val="716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717"/>
    <w:link w:val="34"/>
    <w:uiPriority w:val="10"/>
    <w:rPr>
      <w:sz w:val="48"/>
      <w:szCs w:val="48"/>
    </w:rPr>
  </w:style>
  <w:style w:type="paragraph" w:styleId="36">
    <w:name w:val="Subtitle"/>
    <w:basedOn w:val="716"/>
    <w:next w:val="716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717"/>
    <w:link w:val="36"/>
    <w:uiPriority w:val="11"/>
    <w:rPr>
      <w:sz w:val="24"/>
      <w:szCs w:val="24"/>
    </w:rPr>
  </w:style>
  <w:style w:type="paragraph" w:styleId="38">
    <w:name w:val="Quote"/>
    <w:basedOn w:val="716"/>
    <w:next w:val="716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716"/>
    <w:next w:val="716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717"/>
    <w:link w:val="723"/>
    <w:uiPriority w:val="99"/>
  </w:style>
  <w:style w:type="character" w:styleId="45">
    <w:name w:val="Footer Char"/>
    <w:basedOn w:val="717"/>
    <w:link w:val="740"/>
    <w:uiPriority w:val="99"/>
  </w:style>
  <w:style w:type="paragraph" w:styleId="46">
    <w:name w:val="Caption"/>
    <w:basedOn w:val="716"/>
    <w:next w:val="716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717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7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7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7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7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7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7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7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7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7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7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7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7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7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7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7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7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7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7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7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7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7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7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7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7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716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717"/>
    <w:uiPriority w:val="99"/>
    <w:unhideWhenUsed/>
    <w:rPr>
      <w:vertAlign w:val="superscript"/>
    </w:rPr>
  </w:style>
  <w:style w:type="paragraph" w:styleId="178">
    <w:name w:val="endnote text"/>
    <w:basedOn w:val="716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717"/>
    <w:uiPriority w:val="99"/>
    <w:semiHidden/>
    <w:unhideWhenUsed/>
    <w:rPr>
      <w:vertAlign w:val="superscript"/>
    </w:rPr>
  </w:style>
  <w:style w:type="paragraph" w:styleId="181">
    <w:name w:val="toc 1"/>
    <w:basedOn w:val="716"/>
    <w:next w:val="716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716"/>
    <w:next w:val="716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716"/>
    <w:next w:val="716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716"/>
    <w:next w:val="716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716"/>
    <w:next w:val="716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716"/>
    <w:next w:val="716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716"/>
    <w:next w:val="716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716"/>
    <w:next w:val="716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716"/>
    <w:next w:val="716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716"/>
    <w:next w:val="716"/>
    <w:uiPriority w:val="99"/>
    <w:unhideWhenUsed/>
    <w:pPr>
      <w:spacing w:after="0" w:afterAutospacing="0"/>
    </w:pPr>
  </w:style>
  <w:style w:type="paragraph" w:styleId="716" w:default="1">
    <w:name w:val="Normal"/>
    <w:qFormat/>
  </w:style>
  <w:style w:type="character" w:styleId="717" w:default="1">
    <w:name w:val="Default Paragraph Font"/>
    <w:uiPriority w:val="1"/>
    <w:semiHidden/>
    <w:unhideWhenUsed/>
  </w:style>
  <w:style w:type="table" w:styleId="7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19" w:default="1">
    <w:name w:val="No List"/>
    <w:uiPriority w:val="99"/>
    <w:semiHidden/>
    <w:unhideWhenUsed/>
  </w:style>
  <w:style w:type="paragraph" w:styleId="720" w:customStyle="1">
    <w:name w:val="ConsPlusNormal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721">
    <w:name w:val="Balloon Text"/>
    <w:basedOn w:val="716"/>
    <w:link w:val="722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722" w:customStyle="1">
    <w:name w:val="Текст выноски Знак"/>
    <w:basedOn w:val="717"/>
    <w:link w:val="721"/>
    <w:uiPriority w:val="99"/>
    <w:semiHidden/>
    <w:rPr>
      <w:rFonts w:ascii="Tahoma" w:hAnsi="Tahoma" w:cs="Tahoma"/>
      <w:sz w:val="16"/>
      <w:szCs w:val="16"/>
    </w:rPr>
  </w:style>
  <w:style w:type="paragraph" w:styleId="723">
    <w:name w:val="Header"/>
    <w:basedOn w:val="716"/>
    <w:link w:val="724"/>
    <w:uiPriority w:val="99"/>
    <w:pPr>
      <w:spacing w:after="0" w:line="240" w:lineRule="auto"/>
      <w:tabs>
        <w:tab w:val="center" w:pos="4153" w:leader="none"/>
        <w:tab w:val="right" w:pos="8306" w:leader="none"/>
      </w:tabs>
    </w:pPr>
    <w:rPr>
      <w:rFonts w:ascii="Times New Roman" w:hAnsi="Times New Roman" w:eastAsia="Times New Roman" w:cs="Times New Roman"/>
      <w:sz w:val="28"/>
      <w:szCs w:val="20"/>
      <w:lang w:eastAsia="ar-SA"/>
    </w:rPr>
  </w:style>
  <w:style w:type="character" w:styleId="724" w:customStyle="1">
    <w:name w:val="Верхний колонтитул Знак"/>
    <w:basedOn w:val="717"/>
    <w:link w:val="723"/>
    <w:uiPriority w:val="99"/>
    <w:rPr>
      <w:rFonts w:ascii="Times New Roman" w:hAnsi="Times New Roman" w:eastAsia="Times New Roman" w:cs="Times New Roman"/>
      <w:sz w:val="28"/>
      <w:szCs w:val="20"/>
      <w:lang w:eastAsia="ar-SA"/>
    </w:rPr>
  </w:style>
  <w:style w:type="paragraph" w:styleId="725">
    <w:name w:val="Body Text Indent 3"/>
    <w:basedOn w:val="716"/>
    <w:link w:val="726"/>
    <w:unhideWhenUsed/>
    <w:pPr>
      <w:ind w:left="283"/>
      <w:spacing w:after="120" w:line="240" w:lineRule="auto"/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726" w:customStyle="1">
    <w:name w:val="Основной текст с отступом 3 Знак"/>
    <w:basedOn w:val="717"/>
    <w:link w:val="725"/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727" w:customStyle="1">
    <w:name w:val="Обычный1"/>
    <w:pPr>
      <w:spacing w:before="100" w:after="100" w:line="240" w:lineRule="auto"/>
    </w:pPr>
    <w:rPr>
      <w:rFonts w:ascii="Times New Roman" w:hAnsi="Times New Roman" w:eastAsia="Arial" w:cs="Times New Roman"/>
      <w:sz w:val="24"/>
      <w:szCs w:val="20"/>
      <w:lang w:eastAsia="ar-SA"/>
    </w:rPr>
  </w:style>
  <w:style w:type="character" w:styleId="728" w:customStyle="1">
    <w:name w:val="Font Style11"/>
    <w:uiPriority w:val="99"/>
    <w:rPr>
      <w:rFonts w:ascii="Times New Roman" w:hAnsi="Times New Roman" w:cs="Times New Roman"/>
      <w:sz w:val="26"/>
      <w:szCs w:val="26"/>
    </w:rPr>
  </w:style>
  <w:style w:type="character" w:styleId="729" w:customStyle="1">
    <w:name w:val="about-tnfull-form"/>
  </w:style>
  <w:style w:type="paragraph" w:styleId="730" w:customStyle="1">
    <w:name w:val="Обычный2"/>
    <w:pPr>
      <w:spacing w:before="100" w:after="100" w:line="240" w:lineRule="auto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731">
    <w:name w:val="annotation reference"/>
    <w:basedOn w:val="717"/>
    <w:uiPriority w:val="99"/>
    <w:semiHidden/>
    <w:unhideWhenUsed/>
    <w:rPr>
      <w:sz w:val="16"/>
      <w:szCs w:val="16"/>
    </w:rPr>
  </w:style>
  <w:style w:type="paragraph" w:styleId="732">
    <w:name w:val="annotation text"/>
    <w:basedOn w:val="716"/>
    <w:link w:val="733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733" w:customStyle="1">
    <w:name w:val="Текст примечания Знак"/>
    <w:basedOn w:val="717"/>
    <w:link w:val="732"/>
    <w:uiPriority w:val="99"/>
    <w:semiHidden/>
    <w:rPr>
      <w:sz w:val="20"/>
      <w:szCs w:val="20"/>
    </w:rPr>
  </w:style>
  <w:style w:type="paragraph" w:styleId="734">
    <w:name w:val="annotation subject"/>
    <w:basedOn w:val="732"/>
    <w:next w:val="732"/>
    <w:link w:val="735"/>
    <w:uiPriority w:val="99"/>
    <w:semiHidden/>
    <w:unhideWhenUsed/>
    <w:rPr>
      <w:b/>
      <w:bCs/>
    </w:rPr>
  </w:style>
  <w:style w:type="character" w:styleId="735" w:customStyle="1">
    <w:name w:val="Тема примечания Знак"/>
    <w:basedOn w:val="733"/>
    <w:link w:val="734"/>
    <w:uiPriority w:val="99"/>
    <w:semiHidden/>
    <w:rPr>
      <w:b/>
      <w:bCs/>
      <w:sz w:val="20"/>
      <w:szCs w:val="20"/>
    </w:rPr>
  </w:style>
  <w:style w:type="character" w:styleId="736">
    <w:name w:val="Hyperlink"/>
    <w:basedOn w:val="717"/>
    <w:uiPriority w:val="99"/>
    <w:unhideWhenUsed/>
    <w:rPr>
      <w:color w:val="0000ff" w:themeColor="hyperlink"/>
      <w:u w:val="single"/>
    </w:rPr>
  </w:style>
  <w:style w:type="table" w:styleId="737">
    <w:name w:val="Table Grid"/>
    <w:basedOn w:val="718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738">
    <w:name w:val="List Paragraph"/>
    <w:basedOn w:val="716"/>
    <w:link w:val="739"/>
    <w:uiPriority w:val="34"/>
    <w:qFormat/>
    <w:pPr>
      <w:contextualSpacing/>
      <w:ind w:left="720"/>
    </w:pPr>
  </w:style>
  <w:style w:type="character" w:styleId="739" w:customStyle="1">
    <w:name w:val="Абзац списка Знак"/>
    <w:link w:val="738"/>
    <w:uiPriority w:val="34"/>
    <w:qFormat/>
  </w:style>
  <w:style w:type="paragraph" w:styleId="740">
    <w:name w:val="Footer"/>
    <w:basedOn w:val="716"/>
    <w:link w:val="741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741" w:customStyle="1">
    <w:name w:val="Нижний колонтитул Знак"/>
    <w:basedOn w:val="717"/>
    <w:link w:val="740"/>
    <w:uiPriority w:val="99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image" Target="media/image1.emf"/><Relationship Id="rId12" Type="http://schemas.openxmlformats.org/officeDocument/2006/relationships/image" Target="media/media1.svg"/><Relationship Id="rId13" Type="http://schemas.openxmlformats.org/officeDocument/2006/relationships/image" Target="media/image2.emf"/><Relationship Id="rId14" Type="http://schemas.openxmlformats.org/officeDocument/2006/relationships/image" Target="media/media2.sv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8E674D-7F79-4B97-8251-26B90853D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АГНОиПНО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Беушева Ольга Валентиновна</dc:creator>
  <cp:lastModifiedBy>shiar</cp:lastModifiedBy>
  <cp:revision>82</cp:revision>
  <dcterms:created xsi:type="dcterms:W3CDTF">2023-09-29T02:29:00Z</dcterms:created>
  <dcterms:modified xsi:type="dcterms:W3CDTF">2026-05-04T08:21:29Z</dcterms:modified>
</cp:coreProperties>
</file>