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people.xml" ContentType="application/vnd.openxmlformats-officedocument.wordprocessingml.people+xml"/>
  <Override PartName="/word/header1.xml" ContentType="application/vnd.openxmlformats-officedocument.wordprocessingml.header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439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УТВЕРЖДАЮ</w:t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Министр</w:t>
      </w:r>
      <w:r>
        <w:rPr>
          <w:rFonts w:ascii="Times New Roman" w:hAnsi="Times New Roman"/>
          <w:sz w:val="28"/>
          <w:szCs w:val="28"/>
        </w:rPr>
        <w:t xml:space="preserve"> здравоохранения</w:t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</w:t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______________ Р.М. Заблоцкий</w:t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«_____» _______________ 2024 г.</w:t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ind w:left="4395"/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ДОЛЖНОСТНОЙ РЕГЛАМЕНТ</w:t>
      </w:r>
      <w:r>
        <w:rPr>
          <w:rFonts w:ascii="Times New Roman" w:hAnsi="Times New Roman"/>
          <w:b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КОНСУЛЬТАНТА ОТДЕЛА ЛИЦЕНЗИРОВАНИЯ И ВЕДОМСТВЕННОГО КОНТРОЛЯ КАЧЕСТВА И БЕЗОПАСНОСТМИ МЕДИЦИНСКОЙ ДЕЯТЕЛЬНОСТИ МИНИСТЕРСТВА ЗДРАВООХРАНЕНИЯ НОВОСИБИРСКОЙ ОБЛАСТИ</w:t>
      </w:r>
      <w:r>
        <w:rPr>
          <w:rFonts w:ascii="Times New Roman" w:hAnsi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I. Общие положения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1. Должность государственной гражданской службы Новосибирской области (далее – гражданская служба) </w:t>
      </w:r>
      <w:r>
        <w:rPr>
          <w:rFonts w:ascii="Times New Roman" w:hAnsi="Times New Roman"/>
          <w:sz w:val="28"/>
          <w:szCs w:val="28"/>
        </w:rPr>
        <w:t xml:space="preserve">консультанта отдела лицензирования и ведомственного контроля качества и безопасности медицинской деятельности (далее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 отдел</w:t>
      </w:r>
      <w:r>
        <w:rPr>
          <w:rFonts w:ascii="Times New Roman" w:hAnsi="Times New Roman"/>
          <w:sz w:val="28"/>
          <w:szCs w:val="28"/>
        </w:rPr>
        <w:t xml:space="preserve">) министерства здравоохранения Новосибирской области (далее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– консультант, </w:t>
      </w:r>
      <w:r>
        <w:rPr>
          <w:rFonts w:ascii="Times New Roman" w:hAnsi="Times New Roman"/>
          <w:sz w:val="28"/>
          <w:szCs w:val="28"/>
        </w:rPr>
        <w:t xml:space="preserve">министерство) 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тносится к ведущей группе должностей гражданской службы категории «</w:t>
      </w:r>
      <w:r>
        <w:rPr>
          <w:rFonts w:ascii="Times New Roman" w:hAnsi="Times New Roman"/>
          <w:sz w:val="28"/>
          <w:szCs w:val="28"/>
        </w:rPr>
        <w:t xml:space="preserve">специалисты»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Регистрационный номер (код) должности – </w:t>
      </w:r>
      <w:r>
        <w:rPr>
          <w:rFonts w:ascii="Times New Roman" w:hAnsi="Times New Roman"/>
          <w:sz w:val="28"/>
          <w:szCs w:val="28"/>
        </w:rPr>
        <w:t xml:space="preserve">03-3-3-002-54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2. Область профессиональной служебной деятельности государственного гражданского служащего Новосибирской области (далее – гражданский служащий): регулирование здравоохранения и санитарно-эпидемиологического благополучия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3. Вид профессиональной служебной деятельности гражданского служащего: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организация оказания медицинской помощи, медицинских экспертиз и медицинских освидетельствований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4. Назначение на должность и освобождение от должности </w:t>
      </w:r>
      <w:r>
        <w:rPr>
          <w:rFonts w:ascii="Times New Roman" w:hAnsi="Times New Roman"/>
          <w:sz w:val="28"/>
          <w:szCs w:val="28"/>
        </w:rPr>
        <w:t xml:space="preserve">консультанта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осуществляются </w:t>
      </w:r>
      <w:r>
        <w:rPr>
          <w:rFonts w:ascii="Times New Roman" w:hAnsi="Times New Roman"/>
          <w:sz w:val="28"/>
          <w:szCs w:val="28"/>
        </w:rPr>
        <w:t xml:space="preserve">министром здравоохранения Новосибирской области.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5. 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непосредственно подчиняется начальнику отдела.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6. Консультант исполняет должностные обязанности начальника отдела министерства в период его временного отсутствия</w:t>
      </w:r>
      <w:r>
        <w:rPr>
          <w:rFonts w:ascii="Times New Roman" w:hAnsi="Times New Roman"/>
          <w:bCs/>
          <w:sz w:val="28"/>
          <w:szCs w:val="28"/>
        </w:rPr>
        <w:t xml:space="preserve">.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II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Квалификационные требования для замещения должности 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br w:type="textWrapping" w:clear="all"/>
        <w:t xml:space="preserve">гражданской службы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 Для замещения должности консультанта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устанавливаются следующие квалификационные требования: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7.1. Наличие </w:t>
      </w:r>
      <w:r>
        <w:rPr>
          <w:rFonts w:ascii="Times New Roman" w:hAnsi="Times New Roman"/>
          <w:sz w:val="28"/>
          <w:szCs w:val="28"/>
        </w:rPr>
        <w:t xml:space="preserve">высшего образования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по следующим укрупненным группам специальностей, направлений подготовки: 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«Фундаментальная медицина», и (или) «Клиническая медицина», и (или) </w:t>
      </w:r>
      <w:r>
        <w:rPr>
          <w:rFonts w:ascii="Times New Roman" w:hAnsi="Times New Roman"/>
          <w:sz w:val="28"/>
          <w:szCs w:val="28"/>
        </w:rPr>
        <w:t xml:space="preserve">«Науки о здоровье и профилактическая </w:t>
      </w:r>
      <w:r>
        <w:rPr>
          <w:rFonts w:ascii="Times New Roman" w:hAnsi="Times New Roman"/>
          <w:sz w:val="28"/>
          <w:szCs w:val="28"/>
        </w:rPr>
        <w:t xml:space="preserve">медицина» </w:t>
      </w:r>
      <w:r>
        <w:rPr>
          <w:rFonts w:ascii="Times New Roman" w:hAnsi="Times New Roman"/>
          <w:color w:val="000000"/>
          <w:sz w:val="28"/>
          <w:szCs w:val="28"/>
        </w:rPr>
        <w:t xml:space="preserve">и иные специальн</w:t>
      </w:r>
      <w:r>
        <w:rPr>
          <w:rFonts w:ascii="Times New Roman" w:hAnsi="Times New Roman"/>
          <w:color w:val="000000"/>
          <w:sz w:val="28"/>
          <w:szCs w:val="28"/>
        </w:rPr>
        <w:t xml:space="preserve">ости и направления подготовки, содержащиеся в ранее применяемых перечнях специальностей и направлений подготовки, для которых законодательством об образовании Российской Федерации установлено соответствие указанным специальностям и направлениям подготовки.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7.2. Для замещения должности консультанта не установлено требований к стажу гражданской службы или работы по специальности, направлению подготовки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7.3. Наличие базовых знаний: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Основ </w:t>
      </w:r>
      <w:r>
        <w:rPr>
          <w:rFonts w:ascii="Times New Roman" w:hAnsi="Times New Roman"/>
          <w:sz w:val="28"/>
          <w:szCs w:val="28"/>
        </w:rPr>
        <w:t xml:space="preserve">Конституции Российской Федерации;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 Федерального закона от 27.05.2003 № 58-ФЗ «О системе государственной службы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Федерального закона от 06.10.2003 № 131-ФЗ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 «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 общих принципах организации местного самоуправления в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Федерального закона от 27.07.2004 № 79-ФЗ «О государственной гражданской службе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5) </w:t>
      </w:r>
      <w:r>
        <w:rPr>
          <w:rFonts w:ascii="Times New Roman" w:hAnsi="Times New Roman"/>
          <w:sz w:val="28"/>
          <w:szCs w:val="28"/>
        </w:rPr>
        <w:t xml:space="preserve">Федерального закона от 01.06.2005 № 53-ФЗ «О государственном языке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Федерального закона от 02.05.2006 № 59-ФЗ «О порядке рассмотрения обращений граждан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 Федерального закона от 27.07.2006 № 152-ФЗ «О персональных данных»;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 Федерального закона от 25.12.2008 № 273-ФЗ «О противодействии коррупции»;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9) Федерального закона от 21.12.2021 № 414-ФЗ «Об общих принципах организации публичной власти в субъектах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10) Устава Новосибирской области от 18.04.2005 № 282-ОЗ;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11) </w:t>
      </w:r>
      <w:r>
        <w:rPr>
          <w:rFonts w:ascii="Times New Roman" w:hAnsi="Times New Roman"/>
          <w:sz w:val="28"/>
          <w:szCs w:val="28"/>
        </w:rPr>
        <w:t xml:space="preserve">Закона Новосибирской области от 01.02.2005 № 265-03 «О государственной гражданской службе Новосибирской области»;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12) постановления Губернатора Новосибирской области от 01.11.2010 № 345 «Об утверждении Инструкции по документационному обеспечению Губернатора Новосибирской области и Правительства Новосибирской области»;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13) постановления Губернатора Новосибирской области от 13.05.2011 № 119 «О Кодексе этики и служебного поведения государственных гражданских служащих Новосибирской области»;</w:t>
      </w:r>
      <w:r>
        <w:rPr>
          <w:rFonts w:ascii="Times New Roman" w:hAnsi="Times New Roman"/>
          <w:sz w:val="28"/>
          <w:szCs w:val="28"/>
        </w:rPr>
      </w:r>
    </w:p>
    <w:p>
      <w:pPr>
        <w:pStyle w:val="883"/>
        <w:ind w:right="23" w:firstLine="709"/>
        <w:spacing w:before="0" w:line="240" w:lineRule="auto"/>
        <w:tabs>
          <w:tab w:val="left" w:pos="1418" w:leader="none"/>
        </w:tabs>
        <w:rPr>
          <w:sz w:val="28"/>
          <w:szCs w:val="28"/>
        </w:rPr>
      </w:pPr>
      <w:r>
        <w:rPr>
          <w:sz w:val="28"/>
          <w:szCs w:val="28"/>
        </w:rPr>
        <w:t xml:space="preserve">14) </w:t>
      </w:r>
      <w:r>
        <w:rPr>
          <w:rStyle w:val="884"/>
          <w:i w:val="0"/>
          <w:sz w:val="28"/>
          <w:szCs w:val="28"/>
        </w:rPr>
        <w:t xml:space="preserve">постановления Губернатора Новосибирской области от 06.05.2019 № 134 «Об утверждении Инструкции о порядке организации работы с обращениями граждан»;</w:t>
      </w:r>
      <w:r>
        <w:rPr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15) распоряжения Губернатора Новосибирской области от 25.06.2012 № 147-р «Об утверждении рекомендаций по деловому стилю в государственных органах Новосибирской области»;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16) распоряжения Губернатора Новосибирской области от 25.06.2012 № 147-р «Об утверждении рекомендаций по деловому стилю в государственных органах Новосибирской области»;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17) постановления Правительства Новосибирской области от 25.09.2018</w:t>
      </w:r>
      <w:r>
        <w:rPr>
          <w:rFonts w:ascii="Times New Roman" w:hAnsi="Times New Roman"/>
          <w:sz w:val="28"/>
          <w:szCs w:val="28"/>
        </w:rPr>
        <w:br w:type="textWrapping" w:clear="all"/>
        <w:t xml:space="preserve">№ 423-п «О государственной информационной системе «Система электронного документооборота и делопроизводства Правительства Новосибирской области»;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18) государственного языка Российской Федерации (русского языка);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19) основ делопроизводства и документооборота;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20) аппаратного и программного обеспечения;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21) правил и норм охраны труда, техники безопасности и противопожарной защиты;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22) норм этики и делового общения.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7.4. Наличие профессиональных знаний: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7.4.1. В сфере законодательства Российской Федерации: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Федерального закона от 24.11.1995 № 181-ФЗ «О социальной защите инвалидов в Российской Федерации»;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 </w:t>
      </w:r>
      <w:r>
        <w:rPr>
          <w:rFonts w:ascii="Times New Roman" w:hAnsi="Times New Roman"/>
          <w:sz w:val="28"/>
          <w:szCs w:val="28"/>
          <w:lang w:eastAsia="ru-RU"/>
        </w:rPr>
        <w:t xml:space="preserve">Федерального закона от 08.01.1998 № 3-ФЗ «О наркотических средствах и психотропных веществах»;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3) Федерального закона от 26.12.2008 № 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Федерального закона от 12.04.2010 № 61-ФЗ «Об обращении лекарственных средств»;</w:t>
      </w:r>
      <w:r>
        <w:rPr>
          <w:rFonts w:ascii="Times New Roman" w:hAnsi="Times New Roman"/>
          <w:sz w:val="28"/>
          <w:szCs w:val="28"/>
        </w:rPr>
      </w:r>
    </w:p>
    <w:p>
      <w:pPr>
        <w:pStyle w:val="709"/>
        <w:ind w:left="0" w:firstLine="709"/>
        <w:jc w:val="both"/>
        <w:spacing w:after="0" w:line="240" w:lineRule="auto"/>
        <w:tabs>
          <w:tab w:val="left" w:pos="34" w:leader="none"/>
          <w:tab w:val="left" w:pos="291" w:leader="none"/>
          <w:tab w:val="left" w:pos="442" w:leader="none"/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Федерального закона от 27.07.2010 № 210-ФЗ «Об организации предоставления государственных и муниципальных услуг»;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Федерального закона от 29.11.2010 № 326-ФЗ «Об обязательном медицинском страховании в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pStyle w:val="883"/>
        <w:ind w:right="23" w:firstLine="709"/>
        <w:spacing w:before="0" w:line="240" w:lineRule="auto"/>
        <w:tabs>
          <w:tab w:val="left" w:pos="1418" w:leader="none"/>
        </w:tabs>
        <w:rPr>
          <w:iCs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7) Федерального закона от 04.05.2011 № 99-ФЗ «О лицензировании отдельных видов деятельности»;</w:t>
      </w:r>
      <w:r>
        <w:rPr>
          <w:iCs/>
          <w:color w:val="000000"/>
          <w:sz w:val="28"/>
          <w:szCs w:val="28"/>
          <w:shd w:val="clear" w:color="auto" w:fill="ffffff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 Федерального закона от 21.11.2011 № 323-ФЗ «Об основах охраны здоровья граждан в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9) постановления Правительства Российской Федерации от 24.10.2011 № 861 «О федеральных государственных информационных системах, обеспечивающих предоставление в электронной форме государственных и муниципальных услуг (осуществление функций)»;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33" w:leader="none"/>
          <w:tab w:val="left" w:pos="291" w:leader="none"/>
          <w:tab w:val="left" w:pos="442" w:leader="none"/>
          <w:tab w:val="left" w:pos="1134" w:leader="none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10) постановления Правит</w:t>
      </w:r>
      <w:r>
        <w:rPr>
          <w:rFonts w:ascii="Times New Roman" w:hAnsi="Times New Roman"/>
          <w:bCs/>
          <w:sz w:val="28"/>
          <w:szCs w:val="28"/>
        </w:rPr>
        <w:t xml:space="preserve">ельства Российской Федерации от </w:t>
      </w:r>
      <w:r>
        <w:rPr>
          <w:rFonts w:ascii="Times New Roman" w:hAnsi="Times New Roman"/>
          <w:bCs/>
          <w:sz w:val="28"/>
          <w:szCs w:val="28"/>
        </w:rPr>
        <w:t xml:space="preserve">21.11.2011 № 957 «Об организации лицензирования отдельных видов деятельности»;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11) постановления Правительства </w:t>
      </w:r>
      <w:r>
        <w:rPr>
          <w:rFonts w:ascii="Times New Roman" w:hAnsi="Times New Roman"/>
          <w:sz w:val="28"/>
          <w:szCs w:val="28"/>
        </w:rPr>
        <w:t xml:space="preserve">Российской Федерации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от </w:t>
      </w:r>
      <w:r>
        <w:rPr>
          <w:rFonts w:ascii="Times New Roman" w:hAnsi="Times New Roman"/>
          <w:sz w:val="28"/>
          <w:szCs w:val="28"/>
          <w:lang w:eastAsia="ru-RU"/>
        </w:rPr>
        <w:t xml:space="preserve">01.06.2021 № 852 «О лицензировании медицинской деятельности (за исключением указанной</w:t>
      </w:r>
      <w:r>
        <w:rPr>
          <w:rFonts w:ascii="Times New Roman" w:hAnsi="Times New Roman"/>
          <w:sz w:val="28"/>
          <w:szCs w:val="28"/>
          <w:lang w:eastAsia="ru-RU"/>
        </w:rPr>
        <w:t xml:space="preserve"> деятельности, осуществляемой медицинскими организациями и другими организациями, входящими в частную систему здравоохранения, на территории инновационного центра «Сколково») и признании утратившими силу некоторых актов Правительства Российской Федерации»;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pStyle w:val="709"/>
        <w:ind w:left="0"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12) постановления Правит</w:t>
      </w:r>
      <w:r>
        <w:rPr>
          <w:rFonts w:ascii="Times New Roman" w:hAnsi="Times New Roman"/>
          <w:sz w:val="28"/>
          <w:szCs w:val="28"/>
        </w:rPr>
        <w:t xml:space="preserve">ельства Российской Федерации от </w:t>
      </w:r>
      <w:r>
        <w:rPr>
          <w:rFonts w:ascii="Times New Roman" w:hAnsi="Times New Roman"/>
          <w:sz w:val="28"/>
          <w:szCs w:val="28"/>
        </w:rPr>
        <w:t xml:space="preserve">31.03.2022 № 547 «Об утверждении положения о лицензировании фармацевтической деятельности»;</w:t>
      </w:r>
      <w:r>
        <w:rPr>
          <w:rFonts w:ascii="Times New Roman" w:hAnsi="Times New Roman"/>
          <w:sz w:val="28"/>
          <w:szCs w:val="28"/>
        </w:rPr>
      </w:r>
    </w:p>
    <w:p>
      <w:pPr>
        <w:pStyle w:val="709"/>
        <w:ind w:left="0"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13) постановления Правит</w:t>
      </w:r>
      <w:r>
        <w:rPr>
          <w:rFonts w:ascii="Times New Roman" w:hAnsi="Times New Roman"/>
          <w:sz w:val="28"/>
          <w:szCs w:val="28"/>
        </w:rPr>
        <w:t xml:space="preserve">ельства Российской Федерации от </w:t>
      </w:r>
      <w:r>
        <w:rPr>
          <w:rFonts w:ascii="Times New Roman" w:hAnsi="Times New Roman"/>
          <w:sz w:val="28"/>
          <w:szCs w:val="28"/>
        </w:rPr>
        <w:t xml:space="preserve">20.05.2022 № 911 «О допуске лиц к работе с наркотическими средствами и психотропными веществами, а также к деятельности, связанной с оборотом прекурсоров наркотических средств и психотропных веществ»;</w:t>
      </w:r>
      <w:r>
        <w:rPr>
          <w:rFonts w:ascii="Times New Roman" w:hAnsi="Times New Roman"/>
          <w:sz w:val="28"/>
          <w:szCs w:val="28"/>
        </w:rPr>
      </w:r>
    </w:p>
    <w:p>
      <w:pPr>
        <w:pStyle w:val="709"/>
        <w:ind w:left="0"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14) постановления Правительства Российской Федерации от 31.0</w:t>
      </w:r>
      <w:r>
        <w:rPr>
          <w:rFonts w:ascii="Times New Roman" w:hAnsi="Times New Roman"/>
          <w:sz w:val="28"/>
          <w:szCs w:val="28"/>
        </w:rPr>
        <w:t xml:space="preserve">5</w:t>
      </w:r>
      <w:r>
        <w:rPr>
          <w:rFonts w:ascii="Times New Roman" w:hAnsi="Times New Roman"/>
          <w:sz w:val="28"/>
          <w:szCs w:val="28"/>
        </w:rPr>
        <w:t xml:space="preserve">.2022 № 526 «Об утверждении правил перевозки наркотических </w:t>
      </w:r>
      <w:r>
        <w:rPr>
          <w:rFonts w:ascii="Times New Roman" w:hAnsi="Times New Roman"/>
          <w:sz w:val="28"/>
          <w:szCs w:val="28"/>
        </w:rPr>
        <w:t xml:space="preserve">средств, психотропных веществ и их прекурсоров на территории Российской Федерации, а также оформления необходимых для этого документов и о признании утратившими силу некоторых актов и отдельных положений некоторых актов Правительства Российской Федерации»;</w:t>
      </w:r>
      <w:r>
        <w:rPr>
          <w:rFonts w:ascii="Times New Roman" w:hAnsi="Times New Roman"/>
          <w:sz w:val="28"/>
          <w:szCs w:val="28"/>
        </w:rPr>
      </w:r>
    </w:p>
    <w:p>
      <w:pPr>
        <w:pStyle w:val="709"/>
        <w:ind w:left="0"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15) постановления Правительства Российской Федерации от 02.06.2022 № 1007 «О лицензировании деятельности по обороту наркотических средств, психотропных веществ и их прекурсоров, культивированию наркосодержащих растений»;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16)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и социального развития Российской Федерации от 16.04.2008 № 176н «О номенклатуре специальностей специалистов со средним медицинским и фармацевтическим образованием в сфере здравоохранения Российской Федерации»;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17) приказа Министерства здравоохранения и социального развития Российской Федерации от 23.08.2010 № 706н «Об утверждении Правил хранения лекарственных средств»; 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18) приказа Министерства здравоохранения и социального развития Российской Федерации от 31.01.2012 № 69н «Об утверждении порядка оказания медицинской помощи взрослым больным при инфекционных заболеваниях»;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19) приказа Министерства здравоохранения и социального развития Российской Федерации от 18.04.2012 № 381н «Об утверждении Порядка оказания медицинской помощи населению по профилю «косметология»;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20) приказа Министерства здравоохранения и социального развития Российской Федерации от 05.05.2012 № 521н «Об утверждении Порядка оказания медицинской помощи детям с инфекционными заболеваниями»;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21) приказа Министерства здравоохранения Российской Федерации от 14.10.2022 № 668н «Об утверждении Порядка оказания медицинской помощи при психических расстройствах и расстройствах поведения»;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22) приказа Министерства здравоохранения Российской Федерации от</w:t>
      </w:r>
      <w:r>
        <w:rPr>
          <w:rFonts w:ascii="Times New Roman" w:hAnsi="Times New Roman"/>
          <w:sz w:val="28"/>
          <w:szCs w:val="28"/>
          <w:lang w:val="en-US" w:eastAsia="ru-RU"/>
        </w:rPr>
        <w:t xml:space="preserve"> </w:t>
      </w:r>
      <w:r>
        <w:rPr>
          <w:rFonts w:ascii="Times New Roman" w:hAnsi="Times New Roman"/>
          <w:sz w:val="28"/>
          <w:szCs w:val="28"/>
          <w:lang w:eastAsia="ru-RU"/>
        </w:rPr>
        <w:t xml:space="preserve">31.10.2012 № 560н «Об утверждении Порядка оказания медицинской помощи по профилю «детская онкология»;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23) приказа Министерства здравоохранения Российской Федерации от 12.11.2012 № 906н «Об утверждении Порядка оказания медицинской помощи населению по профилю «гастроэнтерология»;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24) приказа Министерства здравоохранения Российской Федерации от 15.11.2012 № 920н «Об утверждении Порядка оказания медицинской помощи населению по профилю «диетология»;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25) приказа Министерства здравоохранения Российской Федерации от 15.11.2012 № 924н «Об утверждении Порядка оказания медицинской помощи населению по профилю «дерматовенерология»;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26) приказа Министерства здравоохранения Российской Федерации от 15.11.2012 № 925н «Об утверждении Порядка оказания медицинской помощи больным с острыми химическими отравлениями»;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26)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18.01.2012 № 17н «Об утверждении Порядка оказания медицинской помощи взрослому населению по профилю «нефрология»;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27) приказа Министерства здравоохранения и социального развития Российской Федерации от 16.04.2012 № 366н «Об утверждении порядка оказания педиатрической помощи»;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28) приказа Министерства здравоохранения Российской Федерации от 25.10.2012 № 440н «Об утверждении Порядка оказания медицинской помощи по профилю «детская кардиология»;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29) приказа Министерства здравоохранения Российской Федерации от 25.10.2012 № 441н «Об утверждении Порядка оказания медицинской помощи детям по профилю «ревматология»;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30) приказа Министерства здравоохранения Российской Федерации от 25.10.2012 № 442н «Об утверждении Порядка оказания медицинской помощи детям при заболеваниях глаза, его придаточного аппарата и орбиты»;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31) приказа Министерства здравоохранения Российской Федерации от 31.10.2012 № 562н «Об утверждении Порядка оказания медицинской помощи по профилю «детская хирургия»;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32) приказа Министерства здравоохранения Российской Федерации от 02.11.2012 № 575н «Об утверждении Порядка оказания медицинской помощи по профилю «клиническая фармакология»;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33) приказа Министерства здравоохранения Российской Федерации от 07.11.2012 № 606н «Об утверждении Порядка оказания медицинской помощи населению по профилю «аллергология и иммунология»;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34) приказа Министерства здравоохранения Российской Федерации от 08.11.2012 № 689н «Об утверждении порядка оказания медицинской помощи взрослому населению при заболевании, вызываемом вирусом иммунодефицита человека (ВИЧ-инфекции)»;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35) приказа Министерства здравоохранения Российской Федерации от 12.11.2012 № 898н «Об утверждении Порядка оказания медицинской помощи взрослому населению по профилю «торакальная хирургия»»;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36)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  <w:lang w:eastAsia="ru-RU"/>
        </w:rPr>
        <w:t xml:space="preserve">приказа Министерства здравоохранения Российской Федерации от 13.03.2023 № 104н «Об утверждении Порядка оказания медицинской помощи взрослому населению по профилю «эндокринология»;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37) приказа Министерства здравоохранения Российской Федерации от 12.11.2012 № 900н «Об утверждении Порядка оказания медицинской помощи взрослому населению по профилю «ревматология»;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38) приказа Министерства здравоохранения Российской Федерации от 12.11.2012 № 901н «Об утверждении Порядка оказания медицинской помощи населению по профилю «травматология и ортопедия»;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39)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12.11.2012 № 902н «Об утверждении Порядка оказания медицинской помощи взрослому населению при заболеваниях глаза, его придаточного аппарата и орбиты»;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40)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12.11.2012 № 905н «Об утверждении порядка оказания медицинской помощи населению по профилю «оториноларингология»;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41)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12.11.2012 № 907н «Об утверждении Порядка оказания медицинской помощи взро</w:t>
      </w:r>
      <w:r>
        <w:rPr>
          <w:rFonts w:ascii="Times New Roman" w:hAnsi="Times New Roman"/>
          <w:sz w:val="28"/>
          <w:szCs w:val="28"/>
          <w:lang w:eastAsia="ru-RU"/>
        </w:rPr>
        <w:t xml:space="preserve">слому населению по профилю «урология»;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42) </w:t>
      </w:r>
      <w:commentRangeStart w:id="0"/>
      <w:r>
        <w:rPr>
          <w:rFonts w:ascii="Times New Roman" w:hAnsi="Times New Roman"/>
          <w:sz w:val="28"/>
          <w:szCs w:val="28"/>
          <w:lang w:eastAsia="ru-RU"/>
        </w:rPr>
        <w:t xml:space="preserve">приказа Министерства здравоохранения Российской Федерации от </w:t>
      </w:r>
      <w:r>
        <w:rPr>
          <w:rFonts w:ascii="Times New Roman" w:hAnsi="Times New Roman"/>
          <w:sz w:val="28"/>
          <w:szCs w:val="28"/>
          <w:lang w:eastAsia="ru-RU"/>
        </w:rPr>
        <w:t xml:space="preserve">29</w:t>
      </w:r>
      <w:r>
        <w:rPr>
          <w:rFonts w:ascii="Times New Roman" w:hAnsi="Times New Roman"/>
          <w:sz w:val="28"/>
          <w:szCs w:val="28"/>
          <w:lang w:eastAsia="ru-RU"/>
        </w:rPr>
        <w:t xml:space="preserve">.1</w:t>
      </w:r>
      <w:r>
        <w:rPr>
          <w:rFonts w:ascii="Times New Roman" w:hAnsi="Times New Roman"/>
          <w:sz w:val="28"/>
          <w:szCs w:val="28"/>
          <w:lang w:eastAsia="ru-RU"/>
        </w:rPr>
        <w:t xml:space="preserve">0</w:t>
      </w:r>
      <w:r>
        <w:rPr>
          <w:rFonts w:ascii="Times New Roman" w:hAnsi="Times New Roman"/>
          <w:sz w:val="28"/>
          <w:szCs w:val="28"/>
          <w:lang w:eastAsia="ru-RU"/>
        </w:rPr>
        <w:t xml:space="preserve">.20</w:t>
      </w:r>
      <w:r>
        <w:rPr>
          <w:rFonts w:ascii="Times New Roman" w:hAnsi="Times New Roman"/>
          <w:sz w:val="28"/>
          <w:szCs w:val="28"/>
          <w:lang w:eastAsia="ru-RU"/>
        </w:rPr>
        <w:t xml:space="preserve">24</w:t>
      </w:r>
      <w:r>
        <w:rPr>
          <w:rFonts w:ascii="Times New Roman" w:hAnsi="Times New Roman"/>
          <w:sz w:val="28"/>
          <w:szCs w:val="28"/>
          <w:lang w:eastAsia="ru-RU"/>
        </w:rPr>
        <w:t xml:space="preserve"> № 583н «Об утверждении Порядка оказания медицинской помощи по профилю «детская эндокринология»;</w:t>
      </w:r>
      <w:commentRangeEnd w:id="0"/>
      <w:r>
        <w:commentReference w:id="0"/>
      </w:r>
      <w:r>
        <w:rPr>
          <w:rStyle w:val="877"/>
        </w:rPr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43)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12.11.2012 № 909н «Об утверждении Порядка оказания медицинской помощи детям по профилю анестезиология и реаниматология»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44) приказа Министерства здравоохранения Российской Федерации от 13.11.2012 № 910н «Об утверждении Порядка оказания медицинской помощи детям со стоматологическими заболеваниями»;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45)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 916н «Об утверждении Порядка оказания медицинской помощи населению по профилю «пульмонология»;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46)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 918н «Об утверждении порядка оказания медицинской помощи больным с сердечно-сосудистыми заболеваниями»;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47)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919н «Об утверждении Порядка оказания медицинской помощи взрослому населению по профилю «анестезиология и реаниматология»;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48)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921н «Об утверждении Порядка оказания медицинской помощи по профилю «неонатология»;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49)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922н «Об утверждении Порядка оказания медицинской помощи взрослому населению по профилю «хирургия»;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50)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923н «Об утверждении Порядка оказания медицинской помощи взрослому населению по профилю «терапия»;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51)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926н «Об утверждении Порядка оказания медицинской помощи взрослому населению при заболеваниях нервной системы»;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52)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 927н «Об утверждении Порядка оказания медицинской помощи пострадавшим с сочетанными, множественными и изолированными травмами, сопровождающимися шоком»;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53)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 928н «Об утверждении Порядка оказания медицинской помощи больным с острыми нарушениями мозгового кровообращения»;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54)</w:t>
      </w:r>
      <w:r>
        <w:rPr>
          <w:rFonts w:ascii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930н «Об утверждении Порядка оказания медицинской помощи населению по профилю «гематология»;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55)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15.11.2012 № 931н «Об утверждении Порядка оказания медицинской помощи взрослому населению по профилю «нейрохирургия»;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56)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</w:t>
      </w:r>
      <w:r>
        <w:rPr>
          <w:rFonts w:ascii="Times New Roman" w:hAnsi="Times New Roman"/>
          <w:sz w:val="28"/>
          <w:szCs w:val="28"/>
          <w:lang w:eastAsia="ru-RU"/>
        </w:rPr>
        <w:t xml:space="preserve"> от 15.11.2012 № 932н «Об утверждении Порядка оказания медицинской помощи больным туберкулезом»;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57)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14.12.2012 № 1047н «Об утверждении Порядка оказания медицинской помощи детям по профилю «неврология»;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58)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от 20.06.2013 № 388н «Об утверждении порядка оказания скорой, в том числе скорой специализированной медицинской помощи»;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59)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09.04.2015 № 178н «Об утверждении Порядка оказания медицинской помощи населению по профилю «сурдология-оториноларингология»;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60</w:t>
      </w:r>
      <w:r>
        <w:rPr>
          <w:rFonts w:ascii="Times New Roman" w:hAnsi="Times New Roman"/>
          <w:bCs/>
          <w:sz w:val="28"/>
          <w:szCs w:val="28"/>
        </w:rPr>
        <w:t xml:space="preserve">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07.07.2015 № 419н «Об утверждении Административного регламента по предоставлению органами исполнительной власти субъектов Российской Федерации государственной услуги по лицензированию фармацевтической деятельно</w:t>
      </w:r>
      <w:r>
        <w:rPr>
          <w:rFonts w:ascii="Times New Roman" w:hAnsi="Times New Roman"/>
          <w:sz w:val="28"/>
          <w:szCs w:val="28"/>
          <w:lang w:eastAsia="ru-RU"/>
        </w:rPr>
        <w:t xml:space="preserve">сти (за исключением деятельности, осуществляемой организациями оптовой торговли лекарственными средствами для медицинского применения и аптечными организациями, подведомственными федеральным органам исполнительной власти, государственным академиям наук)»;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61) приказа Министерства здравоохранения Российской Федерации от 02.05.2023 № 206н «Об утверждении квалификационных требований к медицинским и фармацевтическим работникам с высшим образованием»;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62)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30.12.201</w:t>
      </w:r>
      <w:r>
        <w:rPr>
          <w:rFonts w:ascii="Times New Roman" w:hAnsi="Times New Roman"/>
          <w:sz w:val="28"/>
          <w:szCs w:val="28"/>
          <w:lang w:eastAsia="ru-RU"/>
        </w:rPr>
        <w:t xml:space="preserve">5 № 1034н «Об утверждении Порядка оказания медицинской помощи по профилю «психиатрия-наркология» и Порядка диспансерного наблюдения за лицами с психическими расстройствами и (или) расстройствами поведения, связанными с употреблением психоактивных веществ»;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63)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29.01.2016 № 38н «Об утверждении Порядка оказания медицинской помощи по профилю «гериатрия»;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64) приказа Министерства здравоохранения Российской Федерации от 31.08.2016 № 647н «Об утверждении Правил надлежащей аптечной практики лекарственных препаратов для медицинского применения»;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65) приказа </w:t>
      </w:r>
      <w:r>
        <w:rPr>
          <w:rFonts w:ascii="Times New Roman" w:hAnsi="Times New Roman"/>
          <w:sz w:val="28"/>
          <w:szCs w:val="28"/>
        </w:rPr>
        <w:t xml:space="preserve">Министерства здравоохранения Российской Федерации </w:t>
      </w:r>
      <w:r>
        <w:rPr>
          <w:rFonts w:ascii="Times New Roman" w:hAnsi="Times New Roman"/>
          <w:bCs/>
          <w:sz w:val="28"/>
          <w:szCs w:val="28"/>
        </w:rPr>
        <w:t xml:space="preserve">от 31.08.2016 № 646н «Об утверждении </w:t>
      </w:r>
      <w:r>
        <w:rPr>
          <w:rFonts w:ascii="Times New Roman" w:hAnsi="Times New Roman"/>
          <w:sz w:val="28"/>
          <w:szCs w:val="28"/>
        </w:rPr>
        <w:t xml:space="preserve">правил надлежащей практики хранения и перевозки лекарственных препаратов для медицинского применения</w:t>
      </w:r>
      <w:r>
        <w:rPr>
          <w:rFonts w:ascii="Times New Roman" w:hAnsi="Times New Roman"/>
          <w:bCs/>
          <w:sz w:val="28"/>
          <w:szCs w:val="28"/>
        </w:rPr>
        <w:t xml:space="preserve">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66) </w:t>
      </w:r>
      <w:r>
        <w:rPr>
          <w:rFonts w:ascii="Times New Roman" w:hAnsi="Times New Roman"/>
          <w:bCs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10.11.2017 № 908н «Об утверждении Административного регламента по </w:t>
      </w:r>
      <w:r>
        <w:rPr>
          <w:rFonts w:ascii="Times New Roman" w:hAnsi="Times New Roman"/>
          <w:sz w:val="28"/>
          <w:szCs w:val="28"/>
          <w:lang w:eastAsia="ru-RU"/>
        </w:rPr>
        <w:t xml:space="preserve">предоставлению органами исполнительной власти субъектов Российской Федерации государственной услуги по лицензированию деяте</w:t>
      </w:r>
      <w:r>
        <w:rPr>
          <w:rFonts w:ascii="Times New Roman" w:hAnsi="Times New Roman"/>
          <w:sz w:val="28"/>
          <w:szCs w:val="28"/>
          <w:lang w:eastAsia="ru-RU"/>
        </w:rPr>
        <w:t xml:space="preserve">льности по обороту наркотических средств и психотропных веществ (за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власти)»; 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67) приказа Министерства здравоохранения Российской Федерации от 07.03.2018 № 92н «Об утверждении положения об организации оказания первичной медико-санитарной помощи детям»;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68)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31.05.2018 № 298н «Об утверждении Порядка оказания медицинской помощи по профилю «пластическая хирургия»;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69)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14.06.2019 № 422н «Об утверждении Порядка оказания медицинской помощи по профилю «челюстно-лицевая хирургия»;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70)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09.06.2020 № 559н «Об утверждении Порядка оказания медицинской помощи населению по профилю «хирургия (комбустиология)»;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71) 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31.07.2020 № 786н «Об утверждении Порядка оказания медицинской помощи взрослому населению при стоматологических заболеваниях»;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72) приказа Министерства здравоохранения и социального развития Российской Федерации от 31.07.2020 № 780н «Об утверждении видов аптечных организаций»; 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73)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19.11.2020</w:t>
      </w:r>
      <w:r>
        <w:rPr>
          <w:rFonts w:ascii="Times New Roman" w:hAnsi="Times New Roman"/>
          <w:sz w:val="28"/>
          <w:szCs w:val="28"/>
          <w:lang w:eastAsia="ru-RU"/>
        </w:rPr>
        <w:t xml:space="preserve"> № 1234н «Об утверждении Порядка ведения единого реестра лицензий, в том числе лицензий, предоставленных органами государственной власти субъектов Российской Федерации в соответствии с переданным полномочием по лицензированию отдельных видов деятельности»;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74)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19.02.2021 № 116н «Об утверждении Порядка оказания медицинской помощи взрослому населению при онкологических заболеваниях»;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75) приказа Министерства здравоохранения Российской Федерации от 19.08.2021 № 866н «Об утверждении классификатора работ (услуг), составляющих медицинскую деятельность»;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2127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76) приказа Министерства здравоохранения Российской Федерации от 24.11.2021 № 1094н «</w:t>
      </w:r>
      <w:r>
        <w:rPr>
          <w:rFonts w:ascii="Times New Roman" w:hAnsi="Times New Roman"/>
          <w:sz w:val="28"/>
          <w:szCs w:val="28"/>
          <w:lang w:eastAsia="ru-RU"/>
        </w:rPr>
        <w:t xml:space="preserve">Об утверждении порядка назначения лекарственных препаратов, форм рецептурных бланков на лекарственные препараты, порядка оформления указанных бланков, их учета и хранен</w:t>
      </w:r>
      <w:r>
        <w:rPr>
          <w:rFonts w:ascii="Times New Roman" w:hAnsi="Times New Roman"/>
          <w:sz w:val="28"/>
          <w:szCs w:val="28"/>
          <w:lang w:eastAsia="ru-RU"/>
        </w:rPr>
        <w:t xml:space="preserve">ия, форм бланков рецептов, содержащих назначение наркотических средств или психотропных веществ, порядка их изготовления, распределения, регистрации, учета и хранения, а также правил оформления бланков рецептов, в том числе в форме электронных документов»;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77) </w:t>
      </w:r>
      <w:r>
        <w:rPr>
          <w:rFonts w:ascii="Times New Roman" w:hAnsi="Times New Roman"/>
          <w:sz w:val="28"/>
          <w:szCs w:val="28"/>
        </w:rPr>
        <w:t xml:space="preserve">приказа Министерства здравоохранения Российской Федерации </w:t>
      </w:r>
      <w:r>
        <w:rPr>
          <w:rFonts w:ascii="Times New Roman" w:hAnsi="Times New Roman"/>
          <w:sz w:val="28"/>
          <w:szCs w:val="28"/>
          <w:lang w:eastAsia="ru-RU"/>
        </w:rPr>
        <w:t xml:space="preserve">от 21.04.2022 № 274н «Об утверждении Порядка оказания медицинской помощи пациентам с врожденными и (или) наследственными заболеваниями»;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78) Закона Новосибирской области от 28.09.2012 № 255-ОЗ «О регулировании отношений в сфере охраны здоровья граждан в Новосибирской области»;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79) постановления Губернатора Новосибирской области от 13.10.2021 № 208 «Об утверждении административного регламента пр</w:t>
      </w:r>
      <w:r>
        <w:rPr>
          <w:rFonts w:ascii="Times New Roman" w:hAnsi="Times New Roman"/>
          <w:sz w:val="28"/>
          <w:szCs w:val="28"/>
        </w:rPr>
        <w:t xml:space="preserve">едоставления министерством здравоохранения Новосибирской области государственной услуги по лицензированию медицинской деятельности медицинских организаций (за исключением медицинских организаций, подведомственных федеральным органам исполнительной власти);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Courier New"/>
          <w:iCs/>
          <w:color w:val="000000"/>
          <w:sz w:val="28"/>
          <w:szCs w:val="28"/>
        </w:rPr>
        <w:t xml:space="preserve">80) </w:t>
      </w:r>
      <w:bookmarkStart w:id="7" w:name="_GoBack"/>
      <w:r>
        <w:rPr>
          <w:rFonts w:ascii="Times New Roman" w:hAnsi="Times New Roman" w:eastAsia="Courier New"/>
          <w:iCs/>
          <w:color w:val="000000"/>
          <w:sz w:val="28"/>
          <w:szCs w:val="28"/>
        </w:rPr>
        <w:t xml:space="preserve">постановления Правительства Новосибирской области от </w:t>
      </w:r>
      <w:r>
        <w:rPr>
          <w:rFonts w:ascii="Times New Roman" w:hAnsi="Times New Roman"/>
          <w:sz w:val="28"/>
          <w:szCs w:val="28"/>
        </w:rPr>
        <w:t xml:space="preserve">09.11.2015 № 401-п «О министерстве здравоохранения Новосибирской области».</w:t>
      </w:r>
      <w:bookmarkEnd w:id="7"/>
      <w:r/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7.4.2. Иные профессиональные знания: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знание основных направлений организации лицензирования 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медицинской деятельности медицинских организаций (за исключением медицинских организаций, подведомственных федеральным органам исполнительной власти); фармацевтической деятельности (за исключением 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власти); деятельности по обороту наркотических средств, психотропных веществ и их прекурсо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ров, культивированию наркосодержащих растений (в части деятельности по обороту наркотических средств и психотропных веществ, внесенных в списки I, II и III перечня наркотических средств, психотропных веществ и их прекурсоров, подлежащих контролю в Российск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ой Федерации, 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 (далее – лицензирование отдельных видов деятельности)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317" w:leader="none"/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 знание </w:t>
      </w:r>
      <w:r>
        <w:rPr>
          <w:rFonts w:ascii="Times New Roman" w:hAnsi="Times New Roman"/>
          <w:sz w:val="28"/>
          <w:szCs w:val="28"/>
        </w:rPr>
        <w:t xml:space="preserve">процедуры организации приема заявлений на предоставление, переоформление, досрочное прекращение лицензий: порядок, этапы, инструменты проведения;</w:t>
      </w:r>
      <w:r>
        <w:rPr>
          <w:rFonts w:ascii="Times New Roman" w:hAnsi="Times New Roman"/>
          <w:sz w:val="28"/>
          <w:szCs w:val="28"/>
        </w:rPr>
      </w:r>
    </w:p>
    <w:p>
      <w:pPr>
        <w:ind w:right="1"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  <w:tab w:val="left" w:pos="1276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3) знание принципов, методов, технологий и механизмов осуществления лицензирования, проведения проверок юридических лиц и индивидуальных предпринимателей в части осуществления лицензирования деятельности в сфере охраны здоровья граждан;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1"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  <w:tab w:val="left" w:pos="1276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4) знание порядков, требований, этапов и принципов разработки и применения административных регламентов, регламентирующих порядок предоставления министерством здраво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охранения Новосибирской области государственных услуг по лицензированию медицинской деятельности, фармацевтической деятельности, деятельности по обороту наркотических средств, психотропных веществ и их прекурсоров, культивированию наркосодержащих растений;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1"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  <w:tab w:val="left" w:pos="1276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5) знание принципов предоставления государственных услуг, требования к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предоставлению государственных услуг;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8"/>
        <w:jc w:val="both"/>
        <w:spacing w:after="0"/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6) знание порядка предоставления государственных услуг в электронной форме и принципы функционирования, назначения портала государственных услуг.</w:t>
      </w:r>
      <w:r/>
    </w:p>
    <w:p>
      <w:pPr>
        <w:ind w:firstLine="709"/>
        <w:jc w:val="both"/>
        <w:spacing w:after="0" w:line="240" w:lineRule="auto"/>
        <w:tabs>
          <w:tab w:val="left" w:pos="709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7.5. Наличие функциональных знаний: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709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знание порядка приема заявлений от соискателей лицензии и лицензиатов, принципы формирования лицензионного дела;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709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 знание лицензионных требований к соискателям лицензии, лицензиатам при лицензировании отдельных видов деятельности;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709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3) знание распространенного программного обеспечения (MS Office);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tabs>
          <w:tab w:val="left" w:pos="317" w:leader="none"/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4) знание </w:t>
      </w:r>
      <w:r>
        <w:rPr>
          <w:rFonts w:ascii="Times New Roman" w:hAnsi="Times New Roman"/>
          <w:sz w:val="28"/>
          <w:szCs w:val="28"/>
        </w:rPr>
        <w:t xml:space="preserve">автоматизированных информационных системах: «А</w:t>
      </w:r>
      <w:r>
        <w:rPr>
          <w:rFonts w:ascii="Times New Roman" w:hAnsi="Times New Roman"/>
          <w:sz w:val="28"/>
          <w:szCs w:val="28"/>
        </w:rPr>
        <w:t xml:space="preserve">ИС «Росздравнадзор», информационной системе «Реестр государственных и муниципальных платежей», государственной автоматизированной системе «Управление», Межведомственной автоматизированной информационной системе, Федеральной информационной адресной системе;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5) знание методов мониторинга при лицензировании отдельных видов деятельности;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6) знание принципов формирования отчетов при лицензировании отдельных видов деятельности.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7.6. Наличие базовых умений: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умение </w:t>
      </w:r>
      <w:r>
        <w:rPr>
          <w:rFonts w:ascii="Times New Roman" w:hAnsi="Times New Roman"/>
          <w:sz w:val="28"/>
          <w:szCs w:val="28"/>
        </w:rPr>
        <w:t xml:space="preserve">планировать, рационально использовать служебное время и достигать результата;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2) </w:t>
      </w:r>
      <w:r>
        <w:rPr>
          <w:rFonts w:ascii="Times New Roman" w:hAnsi="Times New Roman"/>
          <w:sz w:val="28"/>
          <w:szCs w:val="28"/>
        </w:rPr>
        <w:t xml:space="preserve">коммуникативные умения;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 умение </w:t>
      </w:r>
      <w:r>
        <w:rPr>
          <w:rFonts w:ascii="Times New Roman" w:hAnsi="Times New Roman"/>
          <w:sz w:val="28"/>
          <w:szCs w:val="28"/>
        </w:rPr>
        <w:t xml:space="preserve">работать с внутренними и периферийными устройствами компьютера, информационно-телекоммуникационными сетями, в том числе сетью «Интернет», в операционной системе, в текстовом редакторе, с электронными таблицами, электронной почтой, базами данных.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7.7. Наличие профессиональных умений: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умение </w:t>
      </w:r>
      <w:r>
        <w:rPr>
          <w:rFonts w:ascii="Times New Roman" w:hAnsi="Times New Roman"/>
          <w:sz w:val="28"/>
          <w:szCs w:val="28"/>
        </w:rPr>
        <w:t xml:space="preserve">применять специальные знания в предметной области деятельности;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tabs>
          <w:tab w:val="left" w:pos="317" w:leader="none"/>
          <w:tab w:val="left" w:pos="1134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 умение осуществлять межведомственное взаимодействие с органами государственной власти при оказании государственных услуг;</w:t>
      </w:r>
      <w:r>
        <w:rPr>
          <w:rFonts w:ascii="Times New Roman" w:hAnsi="Times New Roman"/>
          <w:sz w:val="28"/>
          <w:szCs w:val="28"/>
        </w:rPr>
      </w:r>
    </w:p>
    <w:p>
      <w:pPr>
        <w:ind w:right="1"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  <w:tab w:val="left" w:pos="1276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3) умение применять принципы, методы, технологии и механизмы осуществления лицензирования, проведения проверок юридических лиц и индивидуальных предпринимателей в части осуществления лицензирования отдельных видов деятельности;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right="1" w:firstLine="709"/>
        <w:jc w:val="both"/>
        <w:spacing w:after="0" w:line="240" w:lineRule="auto"/>
        <w:shd w:val="clear" w:color="auto" w:fill="ffffff"/>
        <w:widowControl w:val="off"/>
        <w:tabs>
          <w:tab w:val="left" w:pos="1134" w:leader="none"/>
          <w:tab w:val="left" w:pos="1276" w:leader="none"/>
        </w:tabs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4) умение применять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предоставления государственных услуг, требования к предоставлению государственных услуг.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7.8. Наличие функциональных умений: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875"/>
        <w:ind w:firstLine="708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1)</w:t>
      </w:r>
      <w:r>
        <w:rPr>
          <w:rFonts w:ascii="Times New Roman" w:hAnsi="Times New Roman" w:cs="Times New Roman"/>
          <w:sz w:val="28"/>
          <w:szCs w:val="28"/>
        </w:rPr>
        <w:t xml:space="preserve"> </w:t>
      </w:r>
      <w:r>
        <w:rPr>
          <w:rFonts w:ascii="Times New Roman" w:hAnsi="Times New Roman" w:cs="Times New Roman"/>
          <w:sz w:val="28"/>
          <w:szCs w:val="28"/>
        </w:rPr>
        <w:t xml:space="preserve">умение анализировать эффективность организации процесса лицензирования;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875"/>
        <w:ind w:firstLine="708"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2) умение формировать мероприятия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 оптимизации работы с соискателями лицензии, лицензиатами по проведению консультирования по вопросам порядка лицензирования, приему документов, информированию о ходе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рассмотрения заявлений и представленных документов, о результатах рассмотрения заявления</w:t>
      </w:r>
      <w:r>
        <w:rPr>
          <w:rFonts w:ascii="Times New Roman" w:hAnsi="Times New Roman" w:cs="Times New Roman"/>
          <w:sz w:val="28"/>
          <w:szCs w:val="28"/>
        </w:rPr>
        <w:t xml:space="preserve">;</w:t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умение осуществлять взаимодействие и консультации в отношении сотрудников организаций по вопросам, отнесенным к обязанностям консультанта;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умение организовать рабочий процесс в условиях многозадачности.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III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Должностные обязанности, права и ответственность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8. Основные права и обязанности консультанта, а также ограничения, запреты и требования к служебному поведению установлены статьями 14–18 Федерального закона от 27.07.2004 № 79-ФЗ «О государственной гражданской службе Российской Федерации».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i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9. В целях реализации задач и функций, возложенных на отдел, консультант</w:t>
      </w:r>
      <w:r>
        <w:rPr>
          <w:rFonts w:ascii="Times New Roman" w:hAnsi="Times New Roman"/>
          <w:sz w:val="28"/>
          <w:szCs w:val="28"/>
        </w:rPr>
        <w:t xml:space="preserve"> отдела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обязан:</w:t>
      </w:r>
      <w:r>
        <w:rPr>
          <w:rFonts w:ascii="Times New Roman" w:hAnsi="Times New Roman" w:eastAsia="Times New Roman"/>
          <w:i/>
          <w:sz w:val="28"/>
          <w:szCs w:val="28"/>
          <w:u w:val="single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/>
      <w:bookmarkStart w:id="8" w:name="bookmark8"/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1) организовывать: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pacing w:val="-2"/>
          <w:sz w:val="28"/>
          <w:szCs w:val="28"/>
        </w:rPr>
        <w:t xml:space="preserve">оказание государственных услуг по лицензированию отдельных видов деятельности в соответствии с требованиями, установленными действующими нормативно-правовыми документами,</w:t>
      </w:r>
      <w:r>
        <w:rPr>
          <w:rFonts w:ascii="Times New Roman" w:hAnsi="Times New Roman"/>
          <w:sz w:val="28"/>
          <w:szCs w:val="28"/>
          <w:lang w:eastAsia="ru-RU"/>
        </w:rPr>
        <w:t xml:space="preserve"> в части:</w:t>
      </w:r>
      <w:r>
        <w:rPr>
          <w:rFonts w:ascii="Times New Roman" w:hAnsi="Times New Roman"/>
          <w:sz w:val="28"/>
          <w:szCs w:val="28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предоставления лицензий, внесения изменений в реестр лицензий;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оценки соответствия соискателей лицензий лицензионным требованиям;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оценки соответствия лицензиатов лицензионным требованиям при внесении изменений в реестр лицензий в случаях, предусмотренных Федеральным законом от 04.05. 2011 № 99-ФЗ «О лицензировании отдельных видов деятельности»;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прекращения действия лицензий;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формирования и ведения реестров выданных министерством лицензий;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предоставления заинтересованным лицам сведений из реестра лицензий;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8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предоставления заинтересованным лицам информации по вопросам лицензирования, включая размещение этой информации в информационно-телекоммуника</w:t>
      </w:r>
      <w:r>
        <w:rPr>
          <w:rFonts w:ascii="Times New Roman" w:hAnsi="Times New Roman"/>
          <w:sz w:val="28"/>
          <w:szCs w:val="28"/>
          <w:lang w:eastAsia="ru-RU"/>
        </w:rPr>
        <w:t xml:space="preserve">ционной сети «Интернет» на официальных сайтах органов государственной власти субъектов Российской Федерации с указанием адресов электронной почты, по которым пользователями этой информации могут быть направлены запросы и получена запрашиваемая информация. 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2) участвовать: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tabs>
          <w:tab w:val="left" w:pos="1418" w:leader="none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в разработке </w:t>
      </w:r>
      <w:r>
        <w:rPr>
          <w:rFonts w:ascii="Times New Roman" w:hAnsi="Times New Roman"/>
          <w:sz w:val="28"/>
          <w:szCs w:val="28"/>
          <w:lang w:eastAsia="ru-RU"/>
        </w:rPr>
        <w:t xml:space="preserve">форм документов, используемых в процессе лицензирования</w:t>
      </w:r>
      <w:r>
        <w:rPr>
          <w:rFonts w:ascii="Times New Roman" w:hAnsi="Times New Roman"/>
          <w:bCs/>
          <w:sz w:val="28"/>
          <w:szCs w:val="28"/>
        </w:rPr>
        <w:t xml:space="preserve">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tabs>
          <w:tab w:val="left" w:pos="1418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</w:rPr>
        <w:t xml:space="preserve">в планировании графика проведения оценок (проверок)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shd w:val="clear" w:color="auto" w:fill="ffffff"/>
        <w:tabs>
          <w:tab w:val="left" w:pos="1418" w:leader="none"/>
        </w:tabs>
        <w:rPr>
          <w:rFonts w:ascii="Times New Roman" w:hAnsi="Times New Roman"/>
          <w:bCs/>
          <w:spacing w:val="-2"/>
          <w:sz w:val="28"/>
          <w:szCs w:val="28"/>
        </w:rPr>
      </w:pPr>
      <w:r>
        <w:rPr>
          <w:rFonts w:ascii="Times New Roman" w:hAnsi="Times New Roman"/>
          <w:bCs/>
          <w:spacing w:val="-2"/>
          <w:sz w:val="28"/>
          <w:szCs w:val="28"/>
        </w:rPr>
        <w:t xml:space="preserve">в организации мероприятий, направленных на повышение качества государственных услуг по лицензированию отдельных видов деятельности, предоставляемых министерством;</w:t>
      </w:r>
      <w:r>
        <w:rPr>
          <w:rFonts w:ascii="Times New Roman" w:hAnsi="Times New Roman"/>
          <w:bCs/>
          <w:spacing w:val="-2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tabs>
          <w:tab w:val="left" w:pos="1418" w:leader="none"/>
        </w:tabs>
        <w:rPr>
          <w:rFonts w:ascii="Times New Roman" w:hAnsi="Times New Roman"/>
          <w:bCs/>
          <w:spacing w:val="-2"/>
          <w:sz w:val="28"/>
          <w:szCs w:val="28"/>
        </w:rPr>
      </w:pPr>
      <w:r>
        <w:rPr>
          <w:rFonts w:ascii="Times New Roman" w:hAnsi="Times New Roman"/>
          <w:bCs/>
          <w:spacing w:val="-2"/>
          <w:sz w:val="28"/>
          <w:szCs w:val="28"/>
        </w:rPr>
        <w:t xml:space="preserve">в подготовке материалов для размещения на Интернет-сайте министерства в целях информирования соискателей лицензии, лицензиатов по вопросам лицензирования отдельных видов деятельности;</w:t>
      </w:r>
      <w:r>
        <w:rPr>
          <w:rFonts w:ascii="Times New Roman" w:hAnsi="Times New Roman"/>
          <w:bCs/>
          <w:spacing w:val="-2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разработке </w:t>
      </w:r>
      <w:r>
        <w:rPr>
          <w:rFonts w:ascii="Times New Roman" w:hAnsi="Times New Roman"/>
          <w:color w:val="000000"/>
          <w:sz w:val="28"/>
          <w:szCs w:val="28"/>
        </w:rPr>
        <w:t xml:space="preserve">комплекса мероприятий по оптимизации работы с соискателями лицензии, лицензиатами по проведению консультирования по вопросам порядка лицензирования, приему документов, информированию о ходе рассмотрения заявлений и представленных документов, о результатах </w:t>
      </w:r>
      <w:r>
        <w:rPr>
          <w:rFonts w:ascii="Times New Roman" w:hAnsi="Times New Roman"/>
          <w:color w:val="000000"/>
          <w:sz w:val="28"/>
          <w:szCs w:val="28"/>
        </w:rPr>
        <w:t xml:space="preserve">рассмотрения заявления;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3) </w:t>
      </w:r>
      <w:r>
        <w:rPr>
          <w:rFonts w:ascii="Times New Roman" w:hAnsi="Times New Roman"/>
          <w:bCs/>
          <w:sz w:val="28"/>
          <w:szCs w:val="28"/>
        </w:rPr>
        <w:t xml:space="preserve">содействовать оказанию государственных услуг по лицензированию отдельных видов деятельности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;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4) разрабатывать проекты нормативных правовых актов министерства, Губернатора Новосибирской области и Правительства Новосибирской области по вопросам, входящим в компетенцию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 отдела;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обеспечивать: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shd w:val="clear" w:color="auto" w:fill="ffffff"/>
        <w:tabs>
          <w:tab w:val="left" w:pos="1418" w:leader="none"/>
        </w:tabs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своевременное и полное рассмотрение устных и письменных обращений граждан и организаций;</w:t>
      </w:r>
      <w:r>
        <w:rPr>
          <w:rFonts w:ascii="Times New Roman" w:hAnsi="Times New Roman"/>
          <w:bCs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порядок обработки (сбора, систе</w:t>
      </w:r>
      <w:r>
        <w:rPr>
          <w:rFonts w:ascii="Times New Roman" w:hAnsi="Times New Roman"/>
          <w:sz w:val="28"/>
          <w:szCs w:val="28"/>
        </w:rPr>
        <w:t xml:space="preserve">матизации, накопления, хранения, уточнения, использования, распространения, передачи, обезличивания, блокирования, уничтожения) персональных данных граждан (гражданских служащих), доступ к которым был получен в связи с исполнением должностных обязанностей;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0" w:leader="none"/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осуществлять: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комплекс мероприятий п</w:t>
      </w:r>
      <w:r>
        <w:rPr>
          <w:rFonts w:ascii="Times New Roman" w:hAnsi="Times New Roman"/>
          <w:color w:val="000000"/>
          <w:sz w:val="28"/>
          <w:szCs w:val="28"/>
        </w:rPr>
        <w:t xml:space="preserve">о оптимизации работы с соискателями лицензии, лицензиатами по проведению консультирования по вопросам порядка лицензирования, приему документов, информированию о ходе рассмотрения заявлений и представленных документов, о результатах рассмотрения заявления;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прием и рассмотр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ение заявлений и прилагаемых документов соискателей лицензии, лицензиатов по лицензированию в части предоставления лицензии, переоформления лицензий, предоставления дубликатов лицензий и копий лицензий, прекращения лицензии по следующим видам деятельности: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медицинской деятельности медицинских организаций (за исключением медицинских организаций, подведомственных федеральным органам исполнительной власти);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фармацевтической деятельности (за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деятельности по обороту нарк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отических средств, психотропных веществ и их прекурсоров, культивированию наркосодержащих растений (в части деятельности по обороту наркотических средств и психотропных веществ, внесенных в списки I, II и III перечня наркотических средств, психотропных вещ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еств и их прекурсоров, подлежащих контролю в Российской Федерации, 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лицензионный кон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троль в отношении соискателей лицензий и лицензиатов, представивших заявления о предоставлении лицензии, переоформлении лицензий, на соответствие соискателя лицензии, лицензиата лицензионным требования, установленных законодательством Российской Федерации;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ведение лицензионных дел в соответствии с требованиями, установленными законодательством Российской Федерации, а также работы по комплектованию, хранению, учету и использование архивных документов, связанных с 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деятельностью отдела;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подготовку проектов решений о предоставлении лицензии, о внесении изменений в лицензию в соответствии с требованиями законодательства;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pP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  <w:t xml:space="preserve">подготовку документов на прекращение действия лицензий в соответствии с требованиями законодательства;</w:t>
      </w:r>
      <w:r>
        <w:rPr>
          <w:rFonts w:ascii="Times New Roman" w:hAnsi="Times New Roman" w:eastAsia="Times New Roman"/>
          <w:bCs/>
          <w:spacing w:val="-2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взаимодействие с ю</w:t>
      </w:r>
      <w:r>
        <w:rPr>
          <w:rFonts w:ascii="Times New Roman" w:hAnsi="Times New Roman"/>
          <w:color w:val="000000"/>
          <w:sz w:val="28"/>
          <w:szCs w:val="28"/>
        </w:rPr>
        <w:t xml:space="preserve">ридическими лицами, индивидуальными предпринимателями, физическими лицами по вопросам лицензирования отдельных видов деятельности в сфере охраны здоровья в рамках переданных Российской Федерацией субъектам Российской Федерации полномочий по лицензированию;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работу по рассмотрению обращений граждан по вопросам, входящим в компетенцию отдела, обеспечивает подготовку по ним ответов в установленный законодательством срок;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ind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работу по ведению делопроизводства в отделе.</w:t>
      </w: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674"/>
        <w:numPr>
          <w:ilvl w:val="0"/>
          <w:numId w:val="0"/>
        </w:numPr>
        <w:ind w:firstLine="709"/>
        <w:jc w:val="both"/>
        <w:rPr>
          <w:b w:val="0"/>
        </w:rPr>
      </w:pPr>
      <w:r>
        <w:rPr>
          <w:b w:val="0"/>
        </w:rPr>
        <w:t xml:space="preserve">7) исполнять</w:t>
      </w:r>
      <w:r>
        <w:rPr>
          <w:b w:val="0"/>
          <w:lang w:bidi="ru-RU"/>
        </w:rPr>
        <w:t xml:space="preserve"> поручения Губернатора Новосибирской области, заместителей Губернатора Новосибирской области, министра здравоохранения Новосибирской области, заместителя министра здравоохранения Новосибирской области, начальника отдела в пределах полномочий отдела;</w:t>
      </w:r>
      <w:r>
        <w:rPr>
          <w:b w:val="0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8) соблюдать Кодекс этики и служебного поведения государственных гражданских служащих Новосибирской области, а также установленные в министерстве правила служебного распорядка и порядок работы со служебной информацией.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/>
      <w:bookmarkStart w:id="9" w:name="bookmark10"/>
      <w:r/>
      <w:bookmarkEnd w:id="8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10. В целях исполнения возложенных должностных обязанностей</w:t>
      </w:r>
      <w:bookmarkEnd w:id="9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имеет право: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</w:t>
      </w:r>
      <w:r>
        <w:rPr>
          <w:rFonts w:ascii="Times New Roman" w:hAnsi="Times New Roman"/>
          <w:sz w:val="28"/>
          <w:szCs w:val="28"/>
          <w:lang w:eastAsia="ru-RU"/>
        </w:rPr>
        <w:t xml:space="preserve">ринимать решения в соответствии с должностными обязанностями;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2) принимать участие в совещаниях, конференциях и семинарах по вопросам, входящим в компетенцию отдела;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получать в установленном поряд</w:t>
      </w:r>
      <w:r>
        <w:rPr>
          <w:rFonts w:ascii="Times New Roman" w:hAnsi="Times New Roman"/>
          <w:sz w:val="28"/>
          <w:szCs w:val="28"/>
        </w:rPr>
        <w:t xml:space="preserve">ке от органов государственной власти Новосибирской области, органов местного самоуправления муниципальных образований Новосибирской области, иных органов и организаций, граждан информацию, необходимую для решения вопросов в рамках должностных обязанностей;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вносить предложения начальнику отдела по любым вопросам, касающимся работы отдела и министерства;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5) использовать в установленном порядке федеральные государственные информационные системы и государственные информационные системы Новосибирской области, справочные правовые системы;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6) использовать в установленном порядке государственные системы связи и коммуникации;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7) участвовать в проводимых министерством проверках по вопросам, относящимся к компетенции отдела.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11. </w:t>
      </w:r>
      <w:bookmarkStart w:id="10" w:name="bookmark11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осуществляет иные права и исполняет обязанности, предусмотренные законодательством Российской Федерации,</w:t>
      </w:r>
      <w:bookmarkEnd w:id="10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приказами министерства, поручениями министра, </w:t>
      </w:r>
      <w:r>
        <w:rPr>
          <w:rFonts w:ascii="Times New Roman" w:hAnsi="Times New Roman"/>
          <w:sz w:val="28"/>
          <w:szCs w:val="28"/>
        </w:rPr>
        <w:t xml:space="preserve">начальника отдела в пределах должностной компетенции. 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12. 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за неисполнение или ненадле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жащее исполнение должностных обязанностей, несоблюдение ограничений и запретов, требований к служебному поведению может быть привлечен к дисциплинарной, административной или уголовной ответственности в соответствии с законодательством Российской Федерации.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IV. Перечень вопросов, по которым гражданский служащий вправе или обязан самостоятельно принимать управленческие и иные решения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/>
      <w:bookmarkStart w:id="11" w:name="bookmark13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13. При исполнении служебных обязанностей </w:t>
      </w:r>
      <w:bookmarkEnd w:id="11"/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вправе самостоятельно принимать решения по вопросам:</w:t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1) выбора методов сбора и обработки информации;</w:t>
      </w:r>
      <w:r>
        <w:rPr>
          <w:rFonts w:ascii="Times New Roman" w:hAnsi="Times New Roman"/>
          <w:sz w:val="28"/>
          <w:szCs w:val="28"/>
          <w:u w:val="singl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2) обеспечения выполнения задач и полномочий, возложенных на отдел;</w:t>
      </w:r>
      <w:r>
        <w:rPr>
          <w:rFonts w:ascii="Times New Roman" w:hAnsi="Times New Roman"/>
          <w:sz w:val="28"/>
          <w:szCs w:val="28"/>
          <w:u w:val="singl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3) организации разработки информационных и методических материалов по вопросам деятельности отдела;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4) участия в обсуждении проектов решений и документов по направлениям деятельности отдела.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14. При исполнении служебных обязанностей 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обязан самостоятельно принимать решения по вопросам:</w:t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планирования личной работы;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2) оказания консультационной помощи в пределах должностных обязанностей.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V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Перечень вопросов, по которым гражданский служащий вправе или обязан участвовать в подготовке проектов нормативных правовых актов и (или) проектов управленческих и иных решений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15. Консультант в соответствии со своей компетенцией вправе участвовать в подготовке (обсуждении) следующих проектов: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положения об отделе;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2)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предложений в план работы министерства по вопросам, входящим в компетенцию отдела</w:t>
      </w:r>
      <w:r>
        <w:rPr>
          <w:rFonts w:ascii="Times New Roman" w:hAnsi="Times New Roman"/>
          <w:sz w:val="28"/>
          <w:szCs w:val="28"/>
        </w:rPr>
        <w:t xml:space="preserve">.</w:t>
      </w:r>
      <w:r>
        <w:rPr>
          <w:rFonts w:ascii="Times New Roman" w:hAnsi="Times New Roman"/>
          <w:sz w:val="28"/>
          <w:szCs w:val="28"/>
          <w:u w:val="singl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16. Консультант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в соответствии со своей компетенцией обязан участвовать в подготовке (обсуждении) следующих проектов: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</w:t>
      </w:r>
      <w:r>
        <w:rPr>
          <w:rFonts w:ascii="Times New Roman" w:hAnsi="Times New Roman"/>
          <w:sz w:val="28"/>
          <w:szCs w:val="28"/>
        </w:rPr>
        <w:t xml:space="preserve">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ответов на запросы областных исполнительных органов государственной власти Новосибирской области, органов местного самоуправления муниципальных образований Новосибирской области, иных органов и организаций, обращения граждан</w:t>
      </w:r>
      <w:r>
        <w:rPr>
          <w:rFonts w:ascii="Times New Roman" w:hAnsi="Times New Roman"/>
          <w:sz w:val="28"/>
          <w:szCs w:val="28"/>
        </w:rPr>
        <w:t xml:space="preserve">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2)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правовых актов Губернатора Новосибирской области, Правительства Новосибирской области и министерства по вопросам, входящим в компетенцию отдела.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VI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Сроки и процедуры подготовки, рассмотрения проектов управленческих и иных решений, порядок согласования и принятия данных решений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17. </w:t>
      </w:r>
      <w:r>
        <w:rPr>
          <w:rFonts w:ascii="Times New Roman" w:hAnsi="Times New Roman"/>
          <w:sz w:val="28"/>
          <w:szCs w:val="28"/>
        </w:rPr>
        <w:t xml:space="preserve">Сроки и процедуры подготовки, рассмотрения проектов управленческих и иных решений, порядок согласования и принятия данных решений консультантом определяются в соответствии с требованиями Инструкции по документационному обеспеч</w:t>
      </w:r>
      <w:r>
        <w:rPr>
          <w:rFonts w:ascii="Times New Roman" w:hAnsi="Times New Roman"/>
          <w:sz w:val="28"/>
          <w:szCs w:val="28"/>
        </w:rPr>
        <w:t xml:space="preserve">ению Губернатора Новосибирской области и Правительства Новосибирской области, утвержденной постановлением Губернатора Новосибирской области от 01.11.2010 № 345, Инструкции по документационному обеспечению министерства здравоохранения Новосибирской области.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VII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Порядок служебного взаимодействия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18. Взаимодействие консультанта</w:t>
      </w:r>
      <w:r>
        <w:rPr>
          <w:rFonts w:ascii="Times New Roman" w:hAnsi="Times New Roman"/>
          <w:sz w:val="28"/>
          <w:szCs w:val="28"/>
        </w:rPr>
        <w:t xml:space="preserve">: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709"/>
        <w:ind w:left="0"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сотрудниками органов государственной власти Новосибирской области, Законодательным Собранием Новосибирской области, территориальными органами федеральных органов исполнительной власти и их структурными подразделениями,</w:t>
      </w:r>
      <w:r>
        <w:rPr>
          <w:rFonts w:ascii="Times New Roman" w:hAnsi="Times New Roman"/>
          <w:sz w:val="28"/>
          <w:szCs w:val="28"/>
        </w:rPr>
        <w:t xml:space="preserve"> с органами местного самоуправления муниципальных образований Новосибирской области, организациями Новосибирской области независимо от форм собственности, с медицинскими организациями, с главными внештатными специалистами Новосибирской области по вопросам:</w:t>
      </w:r>
      <w:r>
        <w:rPr>
          <w:rFonts w:ascii="Times New Roman" w:hAnsi="Times New Roman"/>
          <w:sz w:val="28"/>
          <w:szCs w:val="28"/>
        </w:rPr>
      </w:r>
    </w:p>
    <w:p>
      <w:pPr>
        <w:pStyle w:val="709"/>
        <w:ind w:left="0"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лицензирования отдельных видов деятельности;</w:t>
      </w:r>
      <w:r>
        <w:rPr>
          <w:rFonts w:ascii="Times New Roman" w:hAnsi="Times New Roman"/>
          <w:sz w:val="28"/>
          <w:szCs w:val="28"/>
        </w:rPr>
      </w:r>
    </w:p>
    <w:p>
      <w:pPr>
        <w:pStyle w:val="709"/>
        <w:ind w:left="0" w:firstLine="709"/>
        <w:jc w:val="both"/>
        <w:spacing w:after="0" w:line="240" w:lineRule="auto"/>
        <w:widowControl w:val="off"/>
        <w:tabs>
          <w:tab w:val="left" w:pos="1418" w:leader="none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подготовки нормативных правовых документов;</w:t>
      </w:r>
      <w:r>
        <w:rPr>
          <w:rFonts w:ascii="Times New Roman" w:hAnsi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с гражданскими служащими министерства, государственными служащими иных государственных органов, а также с другими гражданами и организациями строится в рамках </w:t>
      </w:r>
      <w:r>
        <w:rPr>
          <w:rFonts w:ascii="Times New Roman" w:hAnsi="Times New Roman"/>
          <w:sz w:val="28"/>
          <w:szCs w:val="28"/>
        </w:rPr>
        <w:t xml:space="preserve">деловых отношений на основе общих принципов служебного поведения государственных служащих, утвержденных Указом Президента Российской Федерации от 12.08.2002 № 885 «Об утверждении общих принципов служебного поведения государственных служащих», и требований </w:t>
      </w:r>
      <w:r>
        <w:rPr>
          <w:rFonts w:ascii="Times New Roman" w:hAnsi="Times New Roman"/>
          <w:sz w:val="28"/>
          <w:szCs w:val="28"/>
        </w:rPr>
        <w:t xml:space="preserve">к служебному поведению гражданского служащего, установленных статьей 18 Федерального закона от 27.07.2004 № 79-ФЗ «О государственной гражданской службе Российской Федерации», а также в соответствии с иными нормативными правовыми актами Российской Федерации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.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r>
      <w:r>
        <w:rPr>
          <w:rFonts w:ascii="Times New Roman" w:hAnsi="Times New Roman" w:eastAsia="Times New Roman"/>
          <w:sz w:val="28"/>
          <w:szCs w:val="28"/>
          <w:highlight w:val="yellow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VIII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Перечень государственных услуг, оказываемых гражданским служащим гражданам и организациям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19. Консультант</w:t>
      </w:r>
      <w:r>
        <w:rPr>
          <w:rFonts w:ascii="Times New Roman" w:hAnsi="Times New Roman"/>
          <w:sz w:val="28"/>
          <w:szCs w:val="28"/>
        </w:rPr>
        <w:t xml:space="preserve"> оказывает государственные услуги по:</w:t>
      </w:r>
      <w:r>
        <w:rPr>
          <w:rFonts w:ascii="Times New Roman" w:hAnsi="Times New Roman"/>
          <w:sz w:val="28"/>
          <w:szCs w:val="28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1) лицензированию фармацевтической деятельности (за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 лицензированию медицинской деятельности медицинских организаций (за исключением медицинских организаций, подведомственных федеральным органам исполнительной власти);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540"/>
        <w:jc w:val="both"/>
        <w:spacing w:after="0" w:line="240" w:lineRule="auto"/>
        <w:rPr>
          <w:rFonts w:ascii="Times New Roman" w:hAnsi="Times New Roman"/>
          <w:sz w:val="28"/>
          <w:szCs w:val="28"/>
          <w:highlight w:val="yellow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3) лицензированию деятельности по обороту нарк</w:t>
      </w:r>
      <w:r>
        <w:rPr>
          <w:rFonts w:ascii="Times New Roman" w:hAnsi="Times New Roman"/>
          <w:sz w:val="28"/>
          <w:szCs w:val="28"/>
          <w:lang w:eastAsia="ru-RU"/>
        </w:rPr>
        <w:t xml:space="preserve">отических средств, психотропных веществ и их прекурсоров, культивированию наркосодержащих растений (в части деятельности по обороту наркотических средств и психотропных веществ, внесенных в списки I, II и III перечня наркотических средств, психотропных вещ</w:t>
      </w:r>
      <w:r>
        <w:rPr>
          <w:rFonts w:ascii="Times New Roman" w:hAnsi="Times New Roman"/>
          <w:sz w:val="28"/>
          <w:szCs w:val="28"/>
          <w:lang w:eastAsia="ru-RU"/>
        </w:rPr>
        <w:t xml:space="preserve">еств и их прекурсоров, подлежащих контролю в Российской Федерации, за исключением деятельности, осуществляемой организациями оптовой торговли лекарственными средствами и аптечными организациями, подведомственными федеральным органам исполнительной власти).</w:t>
      </w:r>
      <w:r>
        <w:rPr>
          <w:rFonts w:ascii="Times New Roman" w:hAnsi="Times New Roman"/>
          <w:sz w:val="28"/>
          <w:szCs w:val="28"/>
          <w:highlight w:val="yellow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val="en-US" w:eastAsia="ru-RU"/>
        </w:rPr>
        <w:t xml:space="preserve">IX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  <w:t xml:space="preserve">. Показатели эффективности и результативности профессиональной служебной деятельности</w:t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center"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  <w:r>
        <w:rPr>
          <w:rFonts w:ascii="Times New Roman" w:hAnsi="Times New Roman" w:eastAsia="Times New Roman"/>
          <w:b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20. Эффективность и результативность профессиональной служебной деятельности консультанта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оценивается по следующим показателям: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1) доля рассмотренных обращений на предоставление государ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ственной услуги по лицензированию отдельных видов деятельности, поступивших в министерство от юридических лиц, индивидуальных предпринимателей, физических лиц, от общего количества контрольных документов, поступивших на исполнение в отчетном периоде (в %);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2) доля исполненных в срок заданий и поручений, от общего количества заданий и поручений в отчетном периоде 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(в %)</w:t>
      </w:r>
      <w:r>
        <w:rPr>
          <w:rFonts w:ascii="Times New Roman" w:hAnsi="Times New Roman"/>
          <w:sz w:val="28"/>
          <w:szCs w:val="28"/>
          <w:lang w:eastAsia="ru-RU"/>
        </w:rPr>
        <w:t xml:space="preserve">;</w:t>
      </w:r>
      <w:r>
        <w:rPr>
          <w:rFonts w:ascii="Times New Roman" w:hAnsi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3) доля обращений, рассмотренных без нарушений установленного законодательством Российской Федерации сроков, от общего количества поступивших обращений граждан и организаций (в %);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4) своевременность 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подготовки проектов приказов в целях проведения </w:t>
      </w:r>
      <w:r>
        <w:rPr>
          <w:rFonts w:ascii="Times New Roman" w:hAnsi="Times New Roman"/>
          <w:sz w:val="28"/>
          <w:szCs w:val="28"/>
        </w:rPr>
        <w:t xml:space="preserve">оценки (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проверки)</w:t>
      </w:r>
      <w:r>
        <w:rPr>
          <w:rFonts w:ascii="Times New Roman" w:hAnsi="Times New Roman"/>
          <w:bCs/>
          <w:sz w:val="28"/>
          <w:szCs w:val="28"/>
        </w:rPr>
        <w:t xml:space="preserve"> соответствия соискателя лицензии или лицензиата лицензионным требованиям при лицензировании отдельных видов деятельности</w:t>
      </w:r>
      <w:r>
        <w:rPr>
          <w:rFonts w:ascii="Times New Roman" w:hAnsi="Times New Roman" w:eastAsia="Courier New"/>
          <w:sz w:val="28"/>
          <w:szCs w:val="28"/>
        </w:rPr>
        <w:t xml:space="preserve">;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5) качественность и полнота проведения оценки полноты и достоверности представленных соискателем лицензии, лицензиатом документов, предусмотренных законодательством при лицензировании отдельных видов деятельности;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6) качественность и полнота проведения документарной и выездной оценок соответствия соискателя лицензии, лицензиата </w:t>
      </w:r>
      <w:r>
        <w:rPr>
          <w:rFonts w:ascii="Times New Roman" w:hAnsi="Times New Roman"/>
          <w:sz w:val="28"/>
          <w:szCs w:val="28"/>
        </w:rPr>
        <w:t xml:space="preserve">лицензионным требованиям при осуществлении лицензируемых министерством видов деятельности;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7) своевременность соблюдения установленных законодательством сроков рассмотрения заявлений на предоставление государственной услуги по лицензированию отдельных видов деятельности юридическим лицам, индивидуальным предпринимателям, физическим лицам;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8) своевременность подготовки периодической отчетности по вопросам, входящим в компетенцию отдела;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9) </w:t>
      </w: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своевременность подготовки проектов нормативных правовых актов по вопросам, входящим в компетенцию отдела;</w:t>
      </w:r>
      <w:r>
        <w:rPr>
          <w:rFonts w:ascii="Times New Roman" w:hAnsi="Times New Roman" w:eastAsia="Times New Roman"/>
          <w:sz w:val="28"/>
          <w:szCs w:val="28"/>
          <w:lang w:eastAsia="ru-RU"/>
        </w:rPr>
      </w:r>
    </w:p>
    <w:p>
      <w:pPr>
        <w:pStyle w:val="709"/>
        <w:ind w:left="0" w:firstLine="709"/>
        <w:jc w:val="both"/>
        <w:spacing w:after="0" w:line="240" w:lineRule="auto"/>
        <w:widowControl w:val="off"/>
        <w:tabs>
          <w:tab w:val="left" w:pos="1134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10) отсутствие жалоб гражданских служащих, граждан и организаций по вопросу неисполнения или ненадлежащего исполнения служебных обязанностей;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pStyle w:val="709"/>
        <w:ind w:left="0" w:right="40" w:firstLine="709"/>
        <w:jc w:val="both"/>
        <w:spacing w:after="0" w:line="240" w:lineRule="auto"/>
        <w:widowControl w:val="off"/>
        <w:tabs>
          <w:tab w:val="left" w:pos="1134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11) отсутствие ошибок при подготовке документов, в том числе проектов нормативных правовых актов, проектов ответов на обращения граждан и организаций;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pStyle w:val="709"/>
        <w:ind w:left="0" w:firstLine="709"/>
        <w:jc w:val="both"/>
        <w:spacing w:after="0" w:line="240" w:lineRule="auto"/>
        <w:widowControl w:val="off"/>
        <w:tabs>
          <w:tab w:val="left" w:pos="1134" w:leader="none"/>
        </w:tabs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  <w:t xml:space="preserve">12) неисполненных контрольных документов, поручений, резолюций.</w:t>
      </w:r>
      <w:r>
        <w:rPr>
          <w:rFonts w:ascii="Times New Roman" w:hAnsi="Times New Roman" w:eastAsia="Times New Roman"/>
          <w:color w:val="000000"/>
          <w:sz w:val="28"/>
          <w:szCs w:val="28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spacing w:after="0" w:line="240" w:lineRule="auto"/>
        <w:rPr>
          <w:rFonts w:ascii="Times New Roman" w:hAnsi="Times New Roman" w:eastAsia="Times New Roman"/>
          <w:sz w:val="28"/>
          <w:szCs w:val="28"/>
          <w:u w:val="single"/>
          <w:lang w:eastAsia="ru-RU"/>
        </w:rPr>
      </w:pP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  <w:r>
        <w:rPr>
          <w:rFonts w:ascii="Times New Roman" w:hAnsi="Times New Roman" w:eastAsia="Times New Roman"/>
          <w:sz w:val="28"/>
          <w:szCs w:val="28"/>
          <w:u w:val="single"/>
          <w:lang w:eastAsia="ru-RU"/>
        </w:rPr>
      </w:r>
    </w:p>
    <w:p>
      <w:pPr>
        <w:pStyle w:val="87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Начальник отдела                                 ___________     _________________________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87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(подпись)                             (инициалы, фамилия)</w:t>
      </w:r>
      <w:r>
        <w:rPr>
          <w:rFonts w:ascii="Times New Roman" w:hAnsi="Times New Roman" w:cs="Times New Roman"/>
          <w:bCs/>
        </w:rPr>
      </w:r>
    </w:p>
    <w:p>
      <w:pPr>
        <w:pStyle w:val="87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</w:r>
      <w:r>
        <w:rPr>
          <w:rFonts w:ascii="Times New Roman" w:hAnsi="Times New Roman" w:cs="Times New Roman"/>
          <w:bCs/>
        </w:rPr>
      </w:r>
    </w:p>
    <w:p>
      <w:pPr>
        <w:jc w:val="right"/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 «____» ___________ 20___ г.</w:t>
      </w:r>
      <w:r>
        <w:rPr>
          <w:rFonts w:ascii="Times New Roman" w:hAnsi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должностным регламентом ознакомлен:</w:t>
      </w:r>
      <w:r>
        <w:rPr>
          <w:rFonts w:ascii="Times New Roman" w:hAnsi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  <w:r>
        <w:rPr>
          <w:rFonts w:ascii="Times New Roman" w:hAnsi="Times New Roman"/>
          <w:sz w:val="28"/>
          <w:szCs w:val="28"/>
        </w:rPr>
      </w:r>
    </w:p>
    <w:p>
      <w:pPr>
        <w:pStyle w:val="873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Консультант                             ___________     _________________________</w:t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873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                                                                                                (подпись)                             (инициалы, фамилия)</w:t>
      </w:r>
      <w:r>
        <w:rPr>
          <w:rFonts w:ascii="Times New Roman" w:hAnsi="Times New Roman" w:cs="Times New Roman"/>
          <w:bCs/>
        </w:rPr>
      </w:r>
    </w:p>
    <w:p>
      <w:pPr>
        <w:pStyle w:val="873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jc w:val="right"/>
        <w:spacing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 xml:space="preserve">«____» ___________ 20___ г.</w:t>
      </w:r>
      <w:r>
        <w:rPr>
          <w:rFonts w:ascii="Times New Roman" w:hAnsi="Times New Roman"/>
          <w:bCs/>
          <w:sz w:val="28"/>
          <w:szCs w:val="28"/>
        </w:rPr>
      </w:r>
    </w:p>
    <w:p>
      <w:pPr>
        <w:jc w:val="right"/>
        <w:spacing w:line="240" w:lineRule="auto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>
        <w:rPr>
          <w:rFonts w:ascii="Times New Roman" w:hAnsi="Times New Roman"/>
          <w:bCs/>
          <w:sz w:val="28"/>
          <w:szCs w:val="28"/>
        </w:rPr>
      </w:r>
    </w:p>
    <w:sectPr>
      <w:headerReference w:type="default" r:id="rId9"/>
      <w:footnotePr/>
      <w:endnotePr/>
      <w:type w:val="nextPage"/>
      <w:pgSz w:w="11906" w:h="16838" w:orient="portrait"/>
      <w:pgMar w:top="1134" w:right="567" w:bottom="1134" w:left="1418" w:header="709" w:footer="709" w:gutter="0"/>
      <w:cols w:num="1" w:sep="0" w:space="708" w:equalWidth="1"/>
      <w:docGrid w:linePitch="360"/>
      <w:titlePg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0" w:author="Лымарева Ксения Ивановна" w:date="2024-12-23T11:49:00Z" w:initials="ЛКИ">
    <w:p w14:paraId="00000001" w14:textId="00000001">
      <w:pPr>
        <w:spacing w:line="240" w:after="0" w:lineRule="auto" w:before="0"/>
        <w:ind w:firstLine="0" w:left="0" w:right="0"/>
        <w:jc w:val="left"/>
      </w:pPr>
      <w:r>
        <w:rPr>
          <w:rFonts w:eastAsia="Arial" w:ascii="Arial" w:hAnsi="Arial" w:cs="Arial"/>
          <w:sz w:val="22"/>
        </w:rPr>
        <w:t xml:space="preserve">Документ утратил силу или отменен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00000001" w15:done="1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DB8738" w16cex:dateUtc="2024-12-23T04:49:00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00000001" w16cid:durableId="23DB8738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</w:font>
  <w:font w:name="Symbol">
    <w:panose1 w:val="05050102010706020507"/>
  </w:font>
  <w:font w:name="Courier New">
    <w:panose1 w:val="02070309020205020404"/>
  </w:font>
  <w:font w:name="Tahoma">
    <w:panose1 w:val="020B0604030504040204"/>
  </w:font>
  <w:font w:name="Arial">
    <w:panose1 w:val="020B0604020202020204"/>
  </w:font>
  <w:font w:name="Times New Roman">
    <w:panose1 w:val="020206030504050203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719"/>
      <w:jc w:val="center"/>
      <w:rPr>
        <w:rFonts w:ascii="Times New Roman" w:hAnsi="Times New Roman"/>
        <w:sz w:val="20"/>
        <w:szCs w:val="20"/>
      </w:rPr>
    </w:pPr>
    <w:r>
      <w:rPr>
        <w:rFonts w:ascii="Times New Roman" w:hAnsi="Times New Roman"/>
        <w:sz w:val="20"/>
        <w:szCs w:val="20"/>
      </w:rPr>
      <w:fldChar w:fldCharType="begin"/>
    </w:r>
    <w:r>
      <w:rPr>
        <w:rFonts w:ascii="Times New Roman" w:hAnsi="Times New Roman"/>
        <w:sz w:val="20"/>
        <w:szCs w:val="20"/>
      </w:rPr>
      <w:instrText xml:space="preserve">PAGE   \* MERGEFORMAT</w:instrText>
    </w:r>
    <w:r>
      <w:rPr>
        <w:rFonts w:ascii="Times New Roman" w:hAnsi="Times New Roman"/>
        <w:sz w:val="20"/>
        <w:szCs w:val="20"/>
      </w:rPr>
      <w:fldChar w:fldCharType="separate"/>
    </w:r>
    <w:r>
      <w:rPr>
        <w:rFonts w:ascii="Times New Roman" w:hAnsi="Times New Roman"/>
        <w:sz w:val="20"/>
        <w:szCs w:val="20"/>
      </w:rPr>
      <w:t xml:space="preserve">9</w:t>
    </w:r>
    <w:r>
      <w:rPr>
        <w:rFonts w:ascii="Times New Roman" w:hAnsi="Times New Roman"/>
        <w:sz w:val="20"/>
        <w:szCs w:val="20"/>
      </w:rPr>
      <w:fldChar w:fldCharType="end"/>
    </w:r>
    <w:r>
      <w:rPr>
        <w:rFonts w:ascii="Times New Roman" w:hAnsi="Times New Roman"/>
        <w:sz w:val="20"/>
        <w:szCs w:val="20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isLgl w:val="false"/>
      <w:suff w:val="tab"/>
      <w:lvlText w:val="10.%1."/>
      <w:lvlJc w:val="left"/>
      <w:pPr>
        <w:ind w:left="788" w:hanging="360"/>
      </w:pPr>
      <w:rPr>
        <w:rFonts w:cs="Times New Roman"/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50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22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94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6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8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0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82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548" w:hanging="180"/>
      </w:pPr>
    </w:lvl>
  </w:abstractNum>
  <w:abstractNum w:abstractNumId="1">
    <w:multiLevelType w:val="hybridMultilevel"/>
    <w:lvl w:ilvl="0">
      <w:start w:val="1"/>
      <w:numFmt w:val="decimal"/>
      <w:pStyle w:val="674"/>
      <w:isLgl w:val="false"/>
      <w:suff w:val="tab"/>
      <w:lvlText w:val="%1."/>
      <w:lvlJc w:val="left"/>
      <w:pPr>
        <w:ind w:left="1637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288" w:hanging="720"/>
      </w:pPr>
      <w:rPr>
        <w:b w:val="0"/>
        <w:i w:val="0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429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9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9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9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9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9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9" w:hanging="2160"/>
      </w:pPr>
    </w:lvl>
  </w:abstractNum>
  <w:abstractNum w:abstractNumId="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Лымарева Ксения Ивановна">
    <w15:presenceInfo w15:providerId="Teamlab" w15:userId="Лымарева Ксения Ивановна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="Calibri" w:hAnsi="Calibri" w:eastAsia="Calibri" w:cs="Times New Roman"/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73" w:default="1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674">
    <w:name w:val="Heading 1"/>
    <w:basedOn w:val="673"/>
    <w:next w:val="673"/>
    <w:link w:val="874"/>
    <w:uiPriority w:val="9"/>
    <w:qFormat/>
    <w:pPr>
      <w:numPr>
        <w:ilvl w:val="0"/>
        <w:numId w:val="1"/>
      </w:numPr>
      <w:ind w:left="0" w:firstLine="709"/>
      <w:spacing w:after="0" w:line="240" w:lineRule="auto"/>
      <w:shd w:val="clear" w:color="auto" w:fill="ffffff"/>
      <w:widowControl w:val="off"/>
      <w:tabs>
        <w:tab w:val="left" w:pos="851" w:leader="none"/>
      </w:tabs>
      <w:outlineLvl w:val="0"/>
    </w:pPr>
    <w:rPr>
      <w:rFonts w:ascii="Times New Roman" w:hAnsi="Times New Roman" w:eastAsia="Times New Roman"/>
      <w:b/>
      <w:sz w:val="28"/>
      <w:szCs w:val="28"/>
      <w:lang w:eastAsia="ru-RU"/>
    </w:rPr>
  </w:style>
  <w:style w:type="paragraph" w:styleId="675">
    <w:name w:val="Heading 2"/>
    <w:basedOn w:val="673"/>
    <w:next w:val="673"/>
    <w:link w:val="701"/>
    <w:uiPriority w:val="9"/>
    <w:unhideWhenUsed/>
    <w:qFormat/>
    <w:pPr>
      <w:keepLines/>
      <w:keepNext/>
      <w:spacing w:before="360"/>
      <w:outlineLvl w:val="1"/>
    </w:pPr>
    <w:rPr>
      <w:rFonts w:ascii="Arial" w:hAnsi="Arial" w:eastAsia="Arial" w:cs="Arial"/>
      <w:sz w:val="34"/>
    </w:rPr>
  </w:style>
  <w:style w:type="paragraph" w:styleId="676">
    <w:name w:val="Heading 3"/>
    <w:basedOn w:val="673"/>
    <w:next w:val="673"/>
    <w:link w:val="702"/>
    <w:uiPriority w:val="9"/>
    <w:unhideWhenUsed/>
    <w:qFormat/>
    <w:pPr>
      <w:keepLines/>
      <w:keepNext/>
      <w:spacing w:before="320"/>
      <w:outlineLvl w:val="2"/>
    </w:pPr>
    <w:rPr>
      <w:rFonts w:ascii="Arial" w:hAnsi="Arial" w:eastAsia="Arial" w:cs="Arial"/>
      <w:sz w:val="30"/>
      <w:szCs w:val="30"/>
    </w:rPr>
  </w:style>
  <w:style w:type="paragraph" w:styleId="677">
    <w:name w:val="Heading 4"/>
    <w:basedOn w:val="673"/>
    <w:next w:val="673"/>
    <w:link w:val="703"/>
    <w:uiPriority w:val="9"/>
    <w:unhideWhenUsed/>
    <w:qFormat/>
    <w:pPr>
      <w:keepLines/>
      <w:keepNext/>
      <w:spacing w:before="32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8">
    <w:name w:val="Heading 5"/>
    <w:basedOn w:val="673"/>
    <w:next w:val="673"/>
    <w:link w:val="704"/>
    <w:uiPriority w:val="9"/>
    <w:unhideWhenUsed/>
    <w:qFormat/>
    <w:pPr>
      <w:keepLines/>
      <w:keepNext/>
      <w:spacing w:before="32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679">
    <w:name w:val="Heading 6"/>
    <w:basedOn w:val="673"/>
    <w:next w:val="673"/>
    <w:link w:val="705"/>
    <w:uiPriority w:val="9"/>
    <w:unhideWhenUsed/>
    <w:qFormat/>
    <w:pPr>
      <w:keepLines/>
      <w:keepNext/>
      <w:spacing w:before="320"/>
      <w:outlineLvl w:val="5"/>
    </w:pPr>
    <w:rPr>
      <w:rFonts w:ascii="Arial" w:hAnsi="Arial" w:eastAsia="Arial" w:cs="Arial"/>
      <w:b/>
      <w:bCs/>
    </w:rPr>
  </w:style>
  <w:style w:type="paragraph" w:styleId="680">
    <w:name w:val="Heading 7"/>
    <w:basedOn w:val="673"/>
    <w:next w:val="673"/>
    <w:link w:val="706"/>
    <w:uiPriority w:val="9"/>
    <w:unhideWhenUsed/>
    <w:qFormat/>
    <w:pPr>
      <w:keepLines/>
      <w:keepNext/>
      <w:spacing w:before="320"/>
      <w:outlineLvl w:val="6"/>
    </w:pPr>
    <w:rPr>
      <w:rFonts w:ascii="Arial" w:hAnsi="Arial" w:eastAsia="Arial" w:cs="Arial"/>
      <w:b/>
      <w:bCs/>
      <w:i/>
      <w:iCs/>
    </w:rPr>
  </w:style>
  <w:style w:type="paragraph" w:styleId="681">
    <w:name w:val="Heading 8"/>
    <w:basedOn w:val="673"/>
    <w:next w:val="673"/>
    <w:link w:val="707"/>
    <w:uiPriority w:val="9"/>
    <w:unhideWhenUsed/>
    <w:qFormat/>
    <w:pPr>
      <w:keepLines/>
      <w:keepNext/>
      <w:spacing w:before="320"/>
      <w:outlineLvl w:val="7"/>
    </w:pPr>
    <w:rPr>
      <w:rFonts w:ascii="Arial" w:hAnsi="Arial" w:eastAsia="Arial" w:cs="Arial"/>
      <w:i/>
      <w:iCs/>
    </w:rPr>
  </w:style>
  <w:style w:type="paragraph" w:styleId="682">
    <w:name w:val="Heading 9"/>
    <w:basedOn w:val="673"/>
    <w:next w:val="673"/>
    <w:link w:val="708"/>
    <w:uiPriority w:val="9"/>
    <w:unhideWhenUsed/>
    <w:qFormat/>
    <w:pPr>
      <w:keepLines/>
      <w:keepNext/>
      <w:spacing w:before="32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 w:default="1">
    <w:name w:val="Default Paragraph Font"/>
    <w:uiPriority w:val="1"/>
    <w:semiHidden/>
    <w:unhideWhenUsed/>
  </w:style>
  <w:style w:type="table" w:styleId="684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85" w:default="1">
    <w:name w:val="No List"/>
    <w:uiPriority w:val="99"/>
    <w:semiHidden/>
    <w:unhideWhenUsed/>
  </w:style>
  <w:style w:type="character" w:styleId="686" w:customStyle="1">
    <w:name w:val="Heading 2 Char"/>
    <w:uiPriority w:val="9"/>
    <w:rPr>
      <w:rFonts w:ascii="Arial" w:hAnsi="Arial" w:eastAsia="Arial" w:cs="Arial"/>
      <w:sz w:val="34"/>
    </w:rPr>
  </w:style>
  <w:style w:type="character" w:styleId="687" w:customStyle="1">
    <w:name w:val="Heading 3 Char"/>
    <w:uiPriority w:val="9"/>
    <w:rPr>
      <w:rFonts w:ascii="Arial" w:hAnsi="Arial" w:eastAsia="Arial" w:cs="Arial"/>
      <w:sz w:val="30"/>
      <w:szCs w:val="30"/>
    </w:rPr>
  </w:style>
  <w:style w:type="character" w:styleId="688" w:customStyle="1">
    <w:name w:val="Heading 4 Char"/>
    <w:uiPriority w:val="9"/>
    <w:rPr>
      <w:rFonts w:ascii="Arial" w:hAnsi="Arial" w:eastAsia="Arial" w:cs="Arial"/>
      <w:b/>
      <w:bCs/>
      <w:sz w:val="26"/>
      <w:szCs w:val="26"/>
    </w:rPr>
  </w:style>
  <w:style w:type="character" w:styleId="689" w:customStyle="1">
    <w:name w:val="Heading 5 Char"/>
    <w:uiPriority w:val="9"/>
    <w:rPr>
      <w:rFonts w:ascii="Arial" w:hAnsi="Arial" w:eastAsia="Arial" w:cs="Arial"/>
      <w:b/>
      <w:bCs/>
      <w:sz w:val="24"/>
      <w:szCs w:val="24"/>
    </w:rPr>
  </w:style>
  <w:style w:type="character" w:styleId="690" w:customStyle="1">
    <w:name w:val="Heading 6 Char"/>
    <w:uiPriority w:val="9"/>
    <w:rPr>
      <w:rFonts w:ascii="Arial" w:hAnsi="Arial" w:eastAsia="Arial" w:cs="Arial"/>
      <w:b/>
      <w:bCs/>
      <w:sz w:val="22"/>
      <w:szCs w:val="22"/>
    </w:rPr>
  </w:style>
  <w:style w:type="character" w:styleId="691" w:customStyle="1">
    <w:name w:val="Heading 7 Char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92" w:customStyle="1">
    <w:name w:val="Heading 8 Char"/>
    <w:uiPriority w:val="9"/>
    <w:rPr>
      <w:rFonts w:ascii="Arial" w:hAnsi="Arial" w:eastAsia="Arial" w:cs="Arial"/>
      <w:i/>
      <w:iCs/>
      <w:sz w:val="22"/>
      <w:szCs w:val="22"/>
    </w:rPr>
  </w:style>
  <w:style w:type="character" w:styleId="693" w:customStyle="1">
    <w:name w:val="Heading 9 Char"/>
    <w:uiPriority w:val="9"/>
    <w:rPr>
      <w:rFonts w:ascii="Arial" w:hAnsi="Arial" w:eastAsia="Arial" w:cs="Arial"/>
      <w:i/>
      <w:iCs/>
      <w:sz w:val="21"/>
      <w:szCs w:val="21"/>
    </w:rPr>
  </w:style>
  <w:style w:type="character" w:styleId="694" w:customStyle="1">
    <w:name w:val="Title Char"/>
    <w:uiPriority w:val="10"/>
    <w:rPr>
      <w:sz w:val="48"/>
      <w:szCs w:val="48"/>
    </w:rPr>
  </w:style>
  <w:style w:type="character" w:styleId="695" w:customStyle="1">
    <w:name w:val="Subtitle Char"/>
    <w:uiPriority w:val="11"/>
    <w:rPr>
      <w:sz w:val="24"/>
      <w:szCs w:val="24"/>
    </w:rPr>
  </w:style>
  <w:style w:type="character" w:styleId="696" w:customStyle="1">
    <w:name w:val="Quote Char"/>
    <w:uiPriority w:val="29"/>
    <w:rPr>
      <w:i/>
    </w:rPr>
  </w:style>
  <w:style w:type="character" w:styleId="697" w:customStyle="1">
    <w:name w:val="Intense Quote Char"/>
    <w:uiPriority w:val="30"/>
    <w:rPr>
      <w:i/>
    </w:rPr>
  </w:style>
  <w:style w:type="character" w:styleId="698" w:customStyle="1">
    <w:name w:val="Footnote Text Char"/>
    <w:uiPriority w:val="99"/>
    <w:rPr>
      <w:sz w:val="18"/>
    </w:rPr>
  </w:style>
  <w:style w:type="character" w:styleId="699" w:customStyle="1">
    <w:name w:val="Endnote Text Char"/>
    <w:uiPriority w:val="99"/>
    <w:rPr>
      <w:sz w:val="20"/>
    </w:rPr>
  </w:style>
  <w:style w:type="character" w:styleId="700" w:customStyle="1">
    <w:name w:val="Heading 1 Char"/>
    <w:uiPriority w:val="9"/>
    <w:rPr>
      <w:rFonts w:ascii="Arial" w:hAnsi="Arial" w:eastAsia="Arial" w:cs="Arial"/>
      <w:sz w:val="40"/>
      <w:szCs w:val="40"/>
    </w:rPr>
  </w:style>
  <w:style w:type="character" w:styleId="701" w:customStyle="1">
    <w:name w:val="Заголовок 2 Знак"/>
    <w:link w:val="675"/>
    <w:uiPriority w:val="9"/>
    <w:rPr>
      <w:rFonts w:ascii="Arial" w:hAnsi="Arial" w:eastAsia="Arial" w:cs="Arial"/>
      <w:sz w:val="34"/>
    </w:rPr>
  </w:style>
  <w:style w:type="character" w:styleId="702" w:customStyle="1">
    <w:name w:val="Заголовок 3 Знак"/>
    <w:link w:val="676"/>
    <w:uiPriority w:val="9"/>
    <w:rPr>
      <w:rFonts w:ascii="Arial" w:hAnsi="Arial" w:eastAsia="Arial" w:cs="Arial"/>
      <w:sz w:val="30"/>
      <w:szCs w:val="30"/>
    </w:rPr>
  </w:style>
  <w:style w:type="character" w:styleId="703" w:customStyle="1">
    <w:name w:val="Заголовок 4 Знак"/>
    <w:link w:val="677"/>
    <w:uiPriority w:val="9"/>
    <w:rPr>
      <w:rFonts w:ascii="Arial" w:hAnsi="Arial" w:eastAsia="Arial" w:cs="Arial"/>
      <w:b/>
      <w:bCs/>
      <w:sz w:val="26"/>
      <w:szCs w:val="26"/>
    </w:rPr>
  </w:style>
  <w:style w:type="character" w:styleId="704" w:customStyle="1">
    <w:name w:val="Заголовок 5 Знак"/>
    <w:link w:val="678"/>
    <w:uiPriority w:val="9"/>
    <w:rPr>
      <w:rFonts w:ascii="Arial" w:hAnsi="Arial" w:eastAsia="Arial" w:cs="Arial"/>
      <w:b/>
      <w:bCs/>
      <w:sz w:val="24"/>
      <w:szCs w:val="24"/>
    </w:rPr>
  </w:style>
  <w:style w:type="character" w:styleId="705" w:customStyle="1">
    <w:name w:val="Заголовок 6 Знак"/>
    <w:link w:val="679"/>
    <w:uiPriority w:val="9"/>
    <w:rPr>
      <w:rFonts w:ascii="Arial" w:hAnsi="Arial" w:eastAsia="Arial" w:cs="Arial"/>
      <w:b/>
      <w:bCs/>
      <w:sz w:val="22"/>
      <w:szCs w:val="22"/>
    </w:rPr>
  </w:style>
  <w:style w:type="character" w:styleId="706" w:customStyle="1">
    <w:name w:val="Заголовок 7 Знак"/>
    <w:link w:val="680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07" w:customStyle="1">
    <w:name w:val="Заголовок 8 Знак"/>
    <w:link w:val="681"/>
    <w:uiPriority w:val="9"/>
    <w:rPr>
      <w:rFonts w:ascii="Arial" w:hAnsi="Arial" w:eastAsia="Arial" w:cs="Arial"/>
      <w:i/>
      <w:iCs/>
      <w:sz w:val="22"/>
      <w:szCs w:val="22"/>
    </w:rPr>
  </w:style>
  <w:style w:type="character" w:styleId="708" w:customStyle="1">
    <w:name w:val="Заголовок 9 Знак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709">
    <w:name w:val="List Paragraph"/>
    <w:basedOn w:val="673"/>
    <w:link w:val="885"/>
    <w:uiPriority w:val="34"/>
    <w:qFormat/>
    <w:pPr>
      <w:contextualSpacing/>
      <w:ind w:left="720"/>
      <w:spacing w:after="160" w:line="259" w:lineRule="auto"/>
    </w:pPr>
  </w:style>
  <w:style w:type="paragraph" w:styleId="710">
    <w:name w:val="No Spacing"/>
    <w:qFormat/>
    <w:rPr>
      <w:sz w:val="22"/>
      <w:szCs w:val="22"/>
      <w:lang w:eastAsia="en-US"/>
    </w:rPr>
  </w:style>
  <w:style w:type="paragraph" w:styleId="711">
    <w:name w:val="Title"/>
    <w:basedOn w:val="673"/>
    <w:next w:val="673"/>
    <w:link w:val="712"/>
    <w:uiPriority w:val="10"/>
    <w:qFormat/>
    <w:pPr>
      <w:contextualSpacing/>
      <w:spacing w:before="300"/>
    </w:pPr>
    <w:rPr>
      <w:sz w:val="48"/>
      <w:szCs w:val="48"/>
    </w:rPr>
  </w:style>
  <w:style w:type="character" w:styleId="712" w:customStyle="1">
    <w:name w:val="Заголовок Знак"/>
    <w:link w:val="711"/>
    <w:uiPriority w:val="10"/>
    <w:rPr>
      <w:sz w:val="48"/>
      <w:szCs w:val="48"/>
    </w:rPr>
  </w:style>
  <w:style w:type="paragraph" w:styleId="713">
    <w:name w:val="Subtitle"/>
    <w:basedOn w:val="673"/>
    <w:next w:val="673"/>
    <w:link w:val="714"/>
    <w:uiPriority w:val="11"/>
    <w:qFormat/>
    <w:pPr>
      <w:spacing w:before="200"/>
    </w:pPr>
    <w:rPr>
      <w:sz w:val="24"/>
      <w:szCs w:val="24"/>
    </w:rPr>
  </w:style>
  <w:style w:type="character" w:styleId="714" w:customStyle="1">
    <w:name w:val="Подзаголовок Знак"/>
    <w:link w:val="713"/>
    <w:uiPriority w:val="11"/>
    <w:rPr>
      <w:sz w:val="24"/>
      <w:szCs w:val="24"/>
    </w:rPr>
  </w:style>
  <w:style w:type="paragraph" w:styleId="715">
    <w:name w:val="Quote"/>
    <w:basedOn w:val="673"/>
    <w:next w:val="673"/>
    <w:link w:val="716"/>
    <w:uiPriority w:val="29"/>
    <w:qFormat/>
    <w:pPr>
      <w:ind w:left="720" w:right="720"/>
    </w:pPr>
    <w:rPr>
      <w:i/>
    </w:rPr>
  </w:style>
  <w:style w:type="character" w:styleId="716" w:customStyle="1">
    <w:name w:val="Цитата 2 Знак"/>
    <w:link w:val="715"/>
    <w:uiPriority w:val="29"/>
    <w:rPr>
      <w:i/>
    </w:rPr>
  </w:style>
  <w:style w:type="paragraph" w:styleId="717">
    <w:name w:val="Intense Quote"/>
    <w:basedOn w:val="673"/>
    <w:next w:val="673"/>
    <w:link w:val="718"/>
    <w:uiPriority w:val="30"/>
    <w:qFormat/>
    <w:pPr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18" w:customStyle="1">
    <w:name w:val="Выделенная цитата Знак"/>
    <w:link w:val="717"/>
    <w:uiPriority w:val="30"/>
    <w:rPr>
      <w:i/>
    </w:rPr>
  </w:style>
  <w:style w:type="paragraph" w:styleId="719">
    <w:name w:val="Header"/>
    <w:basedOn w:val="673"/>
    <w:link w:val="869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20" w:customStyle="1">
    <w:name w:val="Header Char"/>
    <w:uiPriority w:val="99"/>
  </w:style>
  <w:style w:type="paragraph" w:styleId="721">
    <w:name w:val="Footer"/>
    <w:basedOn w:val="673"/>
    <w:link w:val="870"/>
    <w:uiPriority w:val="99"/>
    <w:unhideWhenUsed/>
    <w:pPr>
      <w:tabs>
        <w:tab w:val="center" w:pos="4677" w:leader="none"/>
        <w:tab w:val="right" w:pos="9355" w:leader="none"/>
      </w:tabs>
    </w:pPr>
  </w:style>
  <w:style w:type="character" w:styleId="722" w:customStyle="1">
    <w:name w:val="Footer Char"/>
    <w:uiPriority w:val="99"/>
  </w:style>
  <w:style w:type="paragraph" w:styleId="723">
    <w:name w:val="Caption"/>
    <w:basedOn w:val="673"/>
    <w:next w:val="673"/>
    <w:uiPriority w:val="35"/>
    <w:semiHidden/>
    <w:unhideWhenUsed/>
    <w:qFormat/>
    <w:rPr>
      <w:b/>
      <w:bCs/>
      <w:color w:val="4f81bd"/>
      <w:sz w:val="18"/>
      <w:szCs w:val="18"/>
    </w:rPr>
  </w:style>
  <w:style w:type="character" w:styleId="724" w:customStyle="1">
    <w:name w:val="Caption Char"/>
    <w:uiPriority w:val="99"/>
  </w:style>
  <w:style w:type="table" w:styleId="725">
    <w:name w:val="Table Grid"/>
    <w:uiPriority w:val="59"/>
    <w:rPr>
      <w:lang w:eastAsia="zh-CN"/>
    </w:r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6" w:customStyle="1">
    <w:name w:val="Table Grid Light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7">
    <w:name w:val="Plain Table 1"/>
    <w:uiPriority w:val="59"/>
    <w:rPr>
      <w:lang w:eastAsia="zh-CN"/>
    </w:rPr>
    <w:tblPr>
      <w:tblInd w:w="0" w:type="dxa"/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8">
    <w:name w:val="Plain Table 2"/>
    <w:uiPriority w:val="59"/>
    <w:rPr>
      <w:lang w:eastAsia="zh-CN"/>
    </w:rPr>
    <w:tblPr>
      <w:tblInd w:w="0" w:type="dxa"/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29">
    <w:name w:val="Plain Table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30">
    <w:name w:val="Plain Table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31">
    <w:name w:val="Plain Table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32">
    <w:name w:val="Grid Table 1 Light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3" w:customStyle="1">
    <w:name w:val="Grid Table 1 Light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4" w:customStyle="1">
    <w:name w:val="Grid Table 1 Light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5" w:customStyle="1">
    <w:name w:val="Grid Table 1 Light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6" w:customStyle="1">
    <w:name w:val="Grid Table 1 Light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7" w:customStyle="1">
    <w:name w:val="Grid Table 1 Light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8" w:customStyle="1">
    <w:name w:val="Grid Table 1 Light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39">
    <w:name w:val="Grid Table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0" w:customStyle="1">
    <w:name w:val="Grid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1" w:customStyle="1">
    <w:name w:val="Grid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Grid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Grid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>
    <w:name w:val="Grid Table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>
    <w:name w:val="Grid Table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4 - Accent 1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4 - Accent 2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4 - Accent 3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4 - Accent 4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4 - Accent 5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4 - Accent 6"/>
    <w:uiPriority w:val="5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>
    <w:name w:val="Grid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bfbfbf" w:fill="bfbfbf"/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5 Dark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5f1" w:fill="dae5f1"/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2dcdc" w:fill="f2dcdc"/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af1dc" w:fill="eaf1dc"/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5 Dark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e5dfec" w:fill="e5dfec"/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daeef3" w:fill="daeef3"/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shd w:val="clear" w:color="fde9d8" w:fill="fde9d8"/>
      <w:tblCellMar>
        <w:left w:w="0" w:type="dxa"/>
        <w:top w:w="0" w:type="dxa"/>
        <w:right w:w="0" w:type="dxa"/>
        <w:bottom w:w="0" w:type="dxa"/>
      </w:tblCellMar>
    </w:tblPr>
  </w:style>
  <w:style w:type="table" w:styleId="767">
    <w:name w:val="Grid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>
    <w:name w:val="Grid Table 7 Colorful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>
    <w:name w:val="List Table 1 Light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List Table 1 Light - Accent 1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List Table 1 Light - Accent 2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List Table 1 Light - Accent 3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List Table 1 Light - Accent 4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List Table 1 Light - Accent 5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List Table 1 Light - Accent 6"/>
    <w:uiPriority w:val="99"/>
    <w:rPr>
      <w:lang w:eastAsia="zh-CN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788">
    <w:name w:val="List Table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List Table 2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List Table 2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List Table 2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List Table 2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2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2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5">
    <w:name w:val="List Table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3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3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3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3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3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3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>
    <w:name w:val="List Table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4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4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4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4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4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4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>
    <w:name w:val="List Table 5 Dark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shd w:val="clear" w:color="7f7f7f" w:fill="7f7f7f"/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5 Dark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shd w:val="clear" w:color="4f81bd" w:fill="4f81bd"/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5 Dark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shd w:val="clear" w:color="d99695" w:fill="d99695"/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5 Dark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shd w:val="clear" w:color="c3d69b" w:fill="c3d69b"/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5 Dark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shd w:val="clear" w:color="b2a1c6" w:fill="b2a1c6"/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5 Dark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shd w:val="clear" w:color="92ccdc" w:fill="92ccdc"/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5 Dark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shd w:val="clear" w:color="fac090" w:fill="fac090"/>
      <w:tblCellMar>
        <w:left w:w="0" w:type="dxa"/>
        <w:top w:w="0" w:type="dxa"/>
        <w:right w:w="0" w:type="dxa"/>
        <w:bottom w:w="0" w:type="dxa"/>
      </w:tblCellMar>
    </w:tblPr>
  </w:style>
  <w:style w:type="table" w:styleId="816">
    <w:name w:val="List Table 6 Colorful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6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6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6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6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6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6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>
    <w:name w:val="List Table 7 Colorful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7 Colorful - Accent 1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7 Colorful - Accent 2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7 Colorful - Accent 3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7 Colorful - Accent 4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7 Colorful - Accent 5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7 Colorful - Accent 6"/>
    <w:uiPriority w:val="99"/>
    <w:rPr>
      <w:lang w:eastAsia="zh-CN"/>
    </w:rPr>
    <w:tblPr>
      <w:tblStyleRowBandSize w:val="1"/>
      <w:tblStyleColBandSize w:val="1"/>
      <w:tblInd w:w="0" w:type="dxa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ned - Accent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ned - Accent 1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ned - Accent 2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ned - Accent 3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ned - Accent 4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ned - Accent 5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ned - Accent 6"/>
    <w:uiPriority w:val="99"/>
    <w:rPr>
      <w:color w:val="404040"/>
    </w:rPr>
    <w:tblPr>
      <w:tblStyleRowBandSize w:val="1"/>
      <w:tblStyleColBandSize w:val="1"/>
      <w:tblInd w:w="0" w:type="dxa"/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Bordered &amp; Lined - Accent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Bordered &amp; Lined - Accent 1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Bordered &amp; Lined - Accent 2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Bordered &amp; Lined - Accent 3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Bordered &amp; Lined - Accent 4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Bordered &amp; Lined - Accent 5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Bordered &amp; Lined - Accent 6"/>
    <w:uiPriority w:val="99"/>
    <w:rPr>
      <w:color w:val="404040"/>
    </w:rPr>
    <w:tblPr>
      <w:tblStyleRowBandSize w:val="1"/>
      <w:tblStyleColBandSize w:val="1"/>
      <w:tblInd w:w="0" w:type="dxa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Bordered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Bordered - Accent 1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Bordered - Accent 2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Bordered - Accent 3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Bordered - Accent 4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- Accent 5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- Accent 6"/>
    <w:uiPriority w:val="99"/>
    <w:rPr>
      <w:lang w:eastAsia="zh-CN"/>
    </w:rPr>
    <w:tblPr>
      <w:tblStyleRowBandSize w:val="1"/>
      <w:tblStyleColBandSize w:val="1"/>
      <w:tblInd w:w="0" w:type="dxa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character" w:styleId="851">
    <w:name w:val="Hyperlink"/>
    <w:uiPriority w:val="99"/>
    <w:unhideWhenUsed/>
    <w:rPr>
      <w:color w:val="0000ff"/>
      <w:u w:val="single"/>
    </w:rPr>
  </w:style>
  <w:style w:type="paragraph" w:styleId="852">
    <w:name w:val="footnote text"/>
    <w:basedOn w:val="673"/>
    <w:link w:val="853"/>
    <w:uiPriority w:val="99"/>
    <w:semiHidden/>
    <w:unhideWhenUsed/>
    <w:pPr>
      <w:spacing w:after="40" w:line="240" w:lineRule="auto"/>
    </w:pPr>
    <w:rPr>
      <w:sz w:val="18"/>
    </w:rPr>
  </w:style>
  <w:style w:type="character" w:styleId="853" w:customStyle="1">
    <w:name w:val="Текст сноски Знак"/>
    <w:link w:val="852"/>
    <w:uiPriority w:val="99"/>
    <w:rPr>
      <w:sz w:val="18"/>
    </w:rPr>
  </w:style>
  <w:style w:type="character" w:styleId="854">
    <w:name w:val="footnote reference"/>
    <w:uiPriority w:val="99"/>
    <w:unhideWhenUsed/>
    <w:rPr>
      <w:vertAlign w:val="superscript"/>
    </w:rPr>
  </w:style>
  <w:style w:type="paragraph" w:styleId="855">
    <w:name w:val="endnote text"/>
    <w:basedOn w:val="673"/>
    <w:link w:val="856"/>
    <w:uiPriority w:val="99"/>
    <w:semiHidden/>
    <w:unhideWhenUsed/>
    <w:pPr>
      <w:spacing w:after="0" w:line="240" w:lineRule="auto"/>
    </w:pPr>
    <w:rPr>
      <w:sz w:val="20"/>
    </w:rPr>
  </w:style>
  <w:style w:type="character" w:styleId="856" w:customStyle="1">
    <w:name w:val="Текст концевой сноски Знак"/>
    <w:link w:val="855"/>
    <w:uiPriority w:val="99"/>
    <w:rPr>
      <w:sz w:val="20"/>
    </w:rPr>
  </w:style>
  <w:style w:type="character" w:styleId="857">
    <w:name w:val="endnote reference"/>
    <w:uiPriority w:val="99"/>
    <w:semiHidden/>
    <w:unhideWhenUsed/>
    <w:rPr>
      <w:vertAlign w:val="superscript"/>
    </w:rPr>
  </w:style>
  <w:style w:type="paragraph" w:styleId="858">
    <w:name w:val="toc 1"/>
    <w:basedOn w:val="673"/>
    <w:next w:val="673"/>
    <w:uiPriority w:val="39"/>
    <w:unhideWhenUsed/>
    <w:pPr>
      <w:spacing w:after="57"/>
    </w:pPr>
  </w:style>
  <w:style w:type="paragraph" w:styleId="859">
    <w:name w:val="toc 2"/>
    <w:basedOn w:val="673"/>
    <w:next w:val="673"/>
    <w:uiPriority w:val="39"/>
    <w:unhideWhenUsed/>
    <w:pPr>
      <w:ind w:left="283"/>
      <w:spacing w:after="57"/>
    </w:pPr>
  </w:style>
  <w:style w:type="paragraph" w:styleId="860">
    <w:name w:val="toc 3"/>
    <w:basedOn w:val="673"/>
    <w:next w:val="673"/>
    <w:uiPriority w:val="39"/>
    <w:unhideWhenUsed/>
    <w:pPr>
      <w:ind w:left="567"/>
      <w:spacing w:after="57"/>
    </w:pPr>
  </w:style>
  <w:style w:type="paragraph" w:styleId="861">
    <w:name w:val="toc 4"/>
    <w:basedOn w:val="673"/>
    <w:next w:val="673"/>
    <w:uiPriority w:val="39"/>
    <w:unhideWhenUsed/>
    <w:pPr>
      <w:ind w:left="850"/>
      <w:spacing w:after="57"/>
    </w:pPr>
  </w:style>
  <w:style w:type="paragraph" w:styleId="862">
    <w:name w:val="toc 5"/>
    <w:basedOn w:val="673"/>
    <w:next w:val="673"/>
    <w:uiPriority w:val="39"/>
    <w:unhideWhenUsed/>
    <w:pPr>
      <w:ind w:left="1134"/>
      <w:spacing w:after="57"/>
    </w:pPr>
  </w:style>
  <w:style w:type="paragraph" w:styleId="863">
    <w:name w:val="toc 6"/>
    <w:basedOn w:val="673"/>
    <w:next w:val="673"/>
    <w:uiPriority w:val="39"/>
    <w:unhideWhenUsed/>
    <w:pPr>
      <w:ind w:left="1417"/>
      <w:spacing w:after="57"/>
    </w:pPr>
  </w:style>
  <w:style w:type="paragraph" w:styleId="864">
    <w:name w:val="toc 7"/>
    <w:basedOn w:val="673"/>
    <w:next w:val="673"/>
    <w:uiPriority w:val="39"/>
    <w:unhideWhenUsed/>
    <w:pPr>
      <w:ind w:left="1701"/>
      <w:spacing w:after="57"/>
    </w:pPr>
  </w:style>
  <w:style w:type="paragraph" w:styleId="865">
    <w:name w:val="toc 8"/>
    <w:basedOn w:val="673"/>
    <w:next w:val="673"/>
    <w:uiPriority w:val="39"/>
    <w:unhideWhenUsed/>
    <w:pPr>
      <w:ind w:left="1984"/>
      <w:spacing w:after="57"/>
    </w:pPr>
  </w:style>
  <w:style w:type="paragraph" w:styleId="866">
    <w:name w:val="toc 9"/>
    <w:basedOn w:val="673"/>
    <w:next w:val="673"/>
    <w:uiPriority w:val="39"/>
    <w:unhideWhenUsed/>
    <w:pPr>
      <w:ind w:left="2268"/>
      <w:spacing w:after="57"/>
    </w:pPr>
  </w:style>
  <w:style w:type="paragraph" w:styleId="867">
    <w:name w:val="TOC Heading"/>
    <w:uiPriority w:val="39"/>
    <w:unhideWhenUsed/>
    <w:rPr>
      <w:lang w:eastAsia="zh-CN"/>
    </w:rPr>
  </w:style>
  <w:style w:type="paragraph" w:styleId="868">
    <w:name w:val="table of figures"/>
    <w:basedOn w:val="673"/>
    <w:next w:val="673"/>
    <w:uiPriority w:val="99"/>
    <w:unhideWhenUsed/>
    <w:pPr>
      <w:spacing w:after="0"/>
    </w:pPr>
  </w:style>
  <w:style w:type="character" w:styleId="869" w:customStyle="1">
    <w:name w:val="Верхний колонтитул Знак"/>
    <w:link w:val="719"/>
    <w:uiPriority w:val="99"/>
    <w:rPr>
      <w:sz w:val="22"/>
      <w:szCs w:val="22"/>
      <w:lang w:eastAsia="en-US"/>
    </w:rPr>
  </w:style>
  <w:style w:type="character" w:styleId="870" w:customStyle="1">
    <w:name w:val="Нижний колонтитул Знак"/>
    <w:link w:val="721"/>
    <w:uiPriority w:val="99"/>
    <w:rPr>
      <w:sz w:val="22"/>
      <w:szCs w:val="22"/>
      <w:lang w:eastAsia="en-US"/>
    </w:rPr>
  </w:style>
  <w:style w:type="paragraph" w:styleId="871">
    <w:name w:val="Balloon Text"/>
    <w:basedOn w:val="673"/>
    <w:link w:val="872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72" w:customStyle="1">
    <w:name w:val="Текст выноски Знак"/>
    <w:link w:val="871"/>
    <w:uiPriority w:val="99"/>
    <w:semiHidden/>
    <w:rPr>
      <w:rFonts w:ascii="Tahoma" w:hAnsi="Tahoma" w:cs="Tahoma"/>
      <w:sz w:val="16"/>
      <w:szCs w:val="16"/>
      <w:lang w:eastAsia="en-US"/>
    </w:rPr>
  </w:style>
  <w:style w:type="paragraph" w:styleId="873" w:customStyle="1">
    <w:name w:val="ConsPlusNonformat"/>
    <w:uiPriority w:val="99"/>
    <w:pPr>
      <w:widowControl w:val="off"/>
    </w:pPr>
    <w:rPr>
      <w:rFonts w:ascii="Courier New" w:hAnsi="Courier New" w:eastAsia="Times New Roman" w:cs="Courier New"/>
    </w:rPr>
  </w:style>
  <w:style w:type="character" w:styleId="874" w:customStyle="1">
    <w:name w:val="Заголовок 1 Знак"/>
    <w:link w:val="674"/>
    <w:uiPriority w:val="9"/>
    <w:rPr>
      <w:rFonts w:ascii="Times New Roman" w:hAnsi="Times New Roman" w:eastAsia="Times New Roman"/>
      <w:b/>
      <w:sz w:val="28"/>
      <w:szCs w:val="28"/>
      <w:shd w:val="clear" w:color="auto" w:fill="ffffff"/>
    </w:rPr>
  </w:style>
  <w:style w:type="paragraph" w:styleId="875" w:customStyle="1">
    <w:name w:val="ConsPlusNormal"/>
    <w:link w:val="876"/>
    <w:pPr>
      <w:jc w:val="both"/>
    </w:pPr>
    <w:rPr>
      <w:rFonts w:ascii="Arial" w:hAnsi="Arial" w:cs="Arial"/>
    </w:rPr>
  </w:style>
  <w:style w:type="character" w:styleId="876" w:customStyle="1">
    <w:name w:val="ConsPlusNormal Знак"/>
    <w:link w:val="875"/>
    <w:rPr>
      <w:rFonts w:ascii="Arial" w:hAnsi="Arial" w:cs="Arial"/>
    </w:rPr>
  </w:style>
  <w:style w:type="character" w:styleId="877">
    <w:name w:val="annotation reference"/>
    <w:uiPriority w:val="99"/>
    <w:semiHidden/>
    <w:unhideWhenUsed/>
    <w:rPr>
      <w:sz w:val="16"/>
      <w:szCs w:val="16"/>
    </w:rPr>
  </w:style>
  <w:style w:type="paragraph" w:styleId="878">
    <w:name w:val="annotation text"/>
    <w:basedOn w:val="673"/>
    <w:link w:val="879"/>
    <w:uiPriority w:val="99"/>
    <w:semiHidden/>
    <w:unhideWhenUsed/>
    <w:rPr>
      <w:sz w:val="20"/>
      <w:szCs w:val="20"/>
    </w:rPr>
  </w:style>
  <w:style w:type="character" w:styleId="879" w:customStyle="1">
    <w:name w:val="Текст примечания Знак"/>
    <w:link w:val="878"/>
    <w:uiPriority w:val="99"/>
    <w:semiHidden/>
    <w:rPr>
      <w:lang w:eastAsia="en-US"/>
    </w:rPr>
  </w:style>
  <w:style w:type="paragraph" w:styleId="880">
    <w:name w:val="annotation subject"/>
    <w:basedOn w:val="878"/>
    <w:next w:val="878"/>
    <w:link w:val="881"/>
    <w:uiPriority w:val="99"/>
    <w:semiHidden/>
    <w:unhideWhenUsed/>
    <w:rPr>
      <w:b/>
      <w:bCs/>
    </w:rPr>
  </w:style>
  <w:style w:type="character" w:styleId="881" w:customStyle="1">
    <w:name w:val="Тема примечания Знак"/>
    <w:link w:val="880"/>
    <w:uiPriority w:val="99"/>
    <w:semiHidden/>
    <w:rPr>
      <w:b/>
      <w:bCs/>
      <w:lang w:eastAsia="en-US"/>
    </w:rPr>
  </w:style>
  <w:style w:type="character" w:styleId="882" w:customStyle="1">
    <w:name w:val="Основной текст_"/>
    <w:link w:val="883"/>
    <w:rPr>
      <w:rFonts w:ascii="Times New Roman" w:hAnsi="Times New Roman"/>
      <w:sz w:val="26"/>
      <w:szCs w:val="26"/>
      <w:shd w:val="clear" w:color="auto" w:fill="ffffff"/>
    </w:rPr>
  </w:style>
  <w:style w:type="paragraph" w:styleId="883" w:customStyle="1">
    <w:name w:val="Основной текст1"/>
    <w:basedOn w:val="673"/>
    <w:link w:val="882"/>
    <w:pPr>
      <w:jc w:val="both"/>
      <w:spacing w:before="360" w:after="0" w:line="317" w:lineRule="exact"/>
      <w:shd w:val="clear" w:color="auto" w:fill="ffffff"/>
      <w:widowControl w:val="off"/>
    </w:pPr>
    <w:rPr>
      <w:rFonts w:ascii="Times New Roman" w:hAnsi="Times New Roman"/>
      <w:sz w:val="26"/>
      <w:szCs w:val="26"/>
      <w:lang w:eastAsia="ru-RU"/>
    </w:rPr>
  </w:style>
  <w:style w:type="character" w:styleId="884" w:customStyle="1">
    <w:name w:val="Основной текст + Курсив;Интервал 0 pt"/>
    <w:rPr>
      <w:rFonts w:ascii="Times New Roman" w:hAnsi="Times New Roman" w:cs="Times New Roman"/>
      <w:i/>
      <w:iCs/>
      <w:color w:val="000000"/>
      <w:spacing w:val="-3"/>
      <w:position w:val="0"/>
      <w:sz w:val="26"/>
      <w:szCs w:val="26"/>
      <w:shd w:val="clear" w:color="auto" w:fill="ffffff"/>
      <w:lang w:val="ru-RU"/>
    </w:rPr>
  </w:style>
  <w:style w:type="character" w:styleId="885" w:customStyle="1">
    <w:name w:val="Абзац списка Знак"/>
    <w:link w:val="709"/>
    <w:uiPriority w:val="34"/>
    <w:rPr>
      <w:sz w:val="22"/>
      <w:szCs w:val="22"/>
      <w:lang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comments" Target="comments.xml" /><Relationship Id="rId11" Type="http://schemas.microsoft.com/office/2011/relationships/commentsExtended" Target="commentsExtended.xml" /><Relationship Id="rId12" Type="http://schemas.microsoft.com/office/2018/08/relationships/commentsExtensible" Target="commentsExtensible.xml" /><Relationship Id="rId13" Type="http://schemas.microsoft.com/office/2016/09/relationships/commentsIds" Target="commentsIds.xml" /><Relationship Id="rId14" Type="http://schemas.microsoft.com/office/2011/relationships/people" Target="people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минтруд НСО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Михайловна Малахова</dc:creator>
  <cp:revision>15</cp:revision>
  <dcterms:created xsi:type="dcterms:W3CDTF">2022-12-27T04:39:00Z</dcterms:created>
  <dcterms:modified xsi:type="dcterms:W3CDTF">2024-12-23T11:10:04Z</dcterms:modified>
  <cp:version>917504</cp:version>
</cp:coreProperties>
</file>