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after="0" w:afterAutospacing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Ответы 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ind w:left="0" w:right="0" w:firstLine="0"/>
        <w:jc w:val="center"/>
        <w:spacing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на часто задаваемые вопросы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9"/>
        <w:spacing w:after="0" w:afterAutospacing="0" w:line="240" w:lineRule="auto"/>
        <w:suppressLineNumbers w:val="0"/>
      </w:pPr>
      <w:r/>
      <w:r/>
    </w:p>
    <w:p>
      <w:pPr>
        <w:ind w:firstLine="709"/>
        <w:spacing w:after="0" w:afterAutospacing="0" w:line="240" w:lineRule="auto"/>
        <w:suppressLineNumbers w:val="0"/>
      </w:pPr>
      <w:r/>
      <w:r/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Вопрос: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Разъясните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рядок лицензирования медицинской деятельности в случае реорганизации юридических лиц в форме присоединения лицензиата, имеющего лицензии на осуществление лицензируемых видов деятельности, к дру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гому юридическому лицу.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Ответ: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соответствии со статьей 18 Федерального закона от 04.05.2011 № 99-ФЗ «О лицензировании отдельных видов деятельности»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случае реорганизации юридических лиц в форме присоединения лицензиата к другому юридическому лицу при условии наличия у лицензиата - юридического лица лицензии на осущес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твление лицензируемого вида деятельности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осуществляется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внесение изменений в реестр лицензий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Для внесения изменений в реестр лицензий юридическое лицо, к которому присоединяются другие юридические лица, имеющие 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ицензии на осуществление лицензируемых видов деятельности, обращается в лицензирующий орган с заявлением о внесении изменений в реестр лицензий в связи с реорганизацией юридических лиц в форме присоединения.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Подача заявления на внесение изменений в реестр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лицензий осуществляется посредством использования федеральной государственной информационной системы «Единый порт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ал государственных и муниципальных услуг (функций)».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Или направляется информационное письмо в лицензирующий орган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проведении реорганизации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для внесения соответствующих решений в реестр лицензий.  Предоставление каких либо документов от лицензиата не требуется.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_________________________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Вопрос: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Является ли действующей лицензия на осуществление медицинской деятельности, выданная на бланке в бумажном варианте?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150" w:right="150" w:firstLine="559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соответствии с постановлением Правительства Российской Федерации от 29.12.2020 № 2343 «Об утверждении Правил формирования и ведения реестра лицензий и типовой формы выписки из реестра лицензий» вместо бумажного варианта лицензии лицензирующими органами 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редоставляется выписка из реестра лицензий в форме электронного документа, которая подписывается усиленной квалифицированной электронной подписью лицензирующего органа, имеет двухмерный штриховой код (QR-код), содержащий в кодированном виде адрес страницы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информационно-телекоммуникационной сети «Интернет» с размещенными на ней записями в реестре лицензий.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0"/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______________________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30"/>
        <w:ind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Вопрос: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Просим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внести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номер лицензии на осуществление медицинской деятельности, предоставленной ООО, 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федеральную государственную информационную систему «Единый портал государственных и муниципальных услуг (функций)»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(далее – ЕПГУ) согласно реестру лицензий от 31.08.2022.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33"/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3"/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Ответ: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Согласно данным реестра лицензий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Общество с ограниченной ответственностью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имеет действующую лицензию на осуществление медицинской деятельности №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Л041-01125-54/00000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30"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2021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val="en-US"/>
        </w:rPr>
        <w:t xml:space="preserve">-2022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годах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проведены мероприятия по присвоению лицензиям на осуществление медицинской деятельности, фармацевтической деятельности, деятельности по обороту наркотических средств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и психотропных веществ регистрационных номеров с использованием единого реестра учета лицензий (ЕРУЛ) (пункты 10, 25-29 Правил формирования и ведения единого реестра учета лицензий и присвоения лицензиям регистрационных номеров с использованием указанного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реестра, утвержденных постановлением Правительства Российской Федерации от 14.09.2021 № 1559).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Номер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лицензии на осуществление медицинской деятельности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№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ЛО-54-01-00000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предоставленной минис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терством здравоохранения Новосибирской области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ООО 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решением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Росздравнадзор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переоформлена на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лицензию на осуществление медицинской деятельности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№ Л041-01125-54/00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000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Затем в связи с вступлением в действие приказа министерства здравоохранения Российской Федерации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от 19.08.2021 № 866н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«Об утверждении классификатора работ (услуг), составляющих медицинскую деятельность» и признании утратившим силу приказа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министерства здравоохранения Российской Федерации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11.03.2013 № 121н, руководствуясь положениями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пункта 12 постановления Правительства Российской Федерации от 29.12.2020 № 2343 «Об утверждении Правил формирования 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ведения реестра лицензий и типовой формы выписки из реестра лицензий»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лицензию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№ Л041-01125-54/00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000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внесены соответствующие изменения по перечню выполняемых работ, оказываемых услуг.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Информация о лицензиях в автоматическом режиме передается из реестра лицензий на ЕПГУ. Министерство здравоохранения Новосибирской области не имеет полномочий на внесение изменений о лицензиях в ЕПГУ.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Информацию о лицензии Вы можете получить в виде выписки из реестра лицензий на осуществление медицинской деятельности, обратившись с заявлени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ем о предоставлении информации из реестра лицензий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посредством использования ЕПГУ.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___________________________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Вопрос: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/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Как получить выписку из реестра лицензий?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beforeAutospacing="0" w:after="0" w:afterAutospacing="0" w:line="240" w:lineRule="auto"/>
        <w:shd w:val="clear" w:color="ffffff" w:themeColor="background1" w:fill="ffffff" w:themeFill="background1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тв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ет: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Получить выписку из реестра лицензий возможно: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-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посредством использования Федеральной государственной информационной системы «Единый портал государственных и муниципальных услуг (функций)» по ссылке: </w:t>
      </w:r>
      <w:hyperlink r:id="rId9" w:tooltip="https://www.gosuslugi.ru/600309/1/form" w:history="1">
        <w:r>
          <w:rPr>
            <w:rStyle w:val="812"/>
            <w:rFonts w:ascii="Times New Roman" w:hAnsi="Times New Roman" w:eastAsia="Times New Roman" w:cs="Times New Roman"/>
            <w:color w:val="000000" w:themeColor="text1"/>
            <w:sz w:val="28"/>
            <w:szCs w:val="28"/>
            <w:highlight w:val="none"/>
            <w:u w:val="single"/>
          </w:rPr>
          <w:t xml:space="preserve">https://www.gosuslugi.ru/600309/1/form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, в форме выписки из реестра лицензий, либо копии акта лицензирующего органа  о принятом решении, либо справки об отсутствии запрашиваемых сведений, которая выдается в случае отсутствия в реестре лицензий сведений о лицензиях или  при невозможности определ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ения конкретного лицензиата.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</w:rPr>
      </w:r>
    </w:p>
    <w:p>
      <w:pPr>
        <w:ind w:left="0" w:right="0" w:firstLine="0"/>
        <w:jc w:val="both"/>
        <w:spacing w:before="0" w:beforeAutospacing="0" w:after="0" w:afterAutospacing="0" w:line="240" w:lineRule="auto"/>
        <w:shd w:val="clear" w:color="ffffff" w:themeColor="background1" w:fill="ffffff" w:themeFill="background1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Выписка из реестра лицензий, предоставляемая в форме электронного документа, подписывается усиленной квалифицированной электронной подписью лицензирующего органа;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-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или самостоятельно, обратившись на официальный интернет-сайт Федеральной службы по надзору в сфере здравоохранения в разделе «Реестры-Перечни» - «Единый реестр лицензий» (</w:t>
      </w:r>
      <w:hyperlink r:id="rId10" w:tooltip="http://www.roszdravnadzor.gov.ru/services/licenses" w:history="1">
        <w:r>
          <w:rPr>
            <w:rStyle w:val="812"/>
            <w:rFonts w:ascii="Times New Roman" w:hAnsi="Times New Roman" w:eastAsia="Times New Roman" w:cs="Times New Roman"/>
            <w:color w:val="000000" w:themeColor="text1"/>
            <w:sz w:val="28"/>
            <w:szCs w:val="28"/>
            <w:highlight w:val="none"/>
            <w:u w:val="single"/>
          </w:rPr>
          <w:t xml:space="preserve">www.roszdravnadzor.gov.ru/services/licenses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). Выписка в формате pdf.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0"/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______________________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Вопрос: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Подлежит ли лицензированию в качестве медицинской деятельности деятельность организации осуществляющей исключительно изготовление зубными техниками индивидуальных ортопедических стоматологических протезов, ортодонтических протезов?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твет: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Услуги по изготовлению ортопедической конструкции стоматологической (код услуги A23.07.002), ортодонтической коррекции (код услуги A16.07.028), по изготовлению элайнера (код услуги A23.07.002.065) и другие включены в номенклатуру медицинских услуг, утвержд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енную приказом Министерства здравоохранения Российской Федерации от 13.10.2017 № 804н «Об утверждении номенклатуры медицинских услуг», относятся к медицинской деятельности и подлежат лицензированию. Перечень работ услуг, подлежащих лицензированию при осуще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ствлении медицинской деятельности, утвержден постановлением Правительства Российской Федерации от 01.06.2021 № 852 «О лицензировании медицинской деятельности (за исключением указанной деятельности, осуществляемой медицинскими организациями и другими органи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зациями, входящими в частную систему здравоохранения, на территории инновационного центра «Сколково») и признании утратившими силу некоторых актов Правительства Российской Федерации», а также установлен приказом Министерства здравоохранения Российской Феде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рации от 19.08.2021 № 866н «Об утверждении классификатора работ (услуг), составляющих медицинскую деятельность». Для осуществления деятельности по изготовлению различных видов искусственных коронок, включая металлокерамику, простых конструкции штифтовых зу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бов, различных конструкций мостовидных протезов, съемных пластинчатых и бюгельных протезов, ортодонтических и челюстно-лицевых конструкций, индивидуальному предпринимателю, юридическому лицу необходимо наличие лицензии на осуществление медицинской деятельн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ости на выполнение работ (услуг): при оказании первичной доврачебной медикосанитарной помощи в амбулаторных условиях по: стоматологии ортопедической. Приказом Министерства здравоохранения Российской Федерации от 02.05.2023 № 205н «Об утверждении Номенклату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ры должностей медицинских работников и фармацевтических работников» утверждены должности специалистов со средним профессиональным медицинским образованием, в том числе должность зубного техника. Единый квалификационный справочник должностей руководителей,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специалистов и служащих, утвержденный приказом Министерства здравоохранения и социального развития России от 23.07.2010 № 541н, содержит должностные обязанности зубного техника: изготовление различных видов искусственных коронок, включая металлокерамику, 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ростые конструкции штифтовых зубов, различные конструкции мостовидных протезов, съемные пластинчатые и бюгельные протезы, ортодонтические и челюстно-лицевые конструкции; и требования к квалификации зубного техника: наличие среднего профессионального образо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вания по специальности «Стоматология ортопедическая» и сертификата специалиста по специальности «Стоматология ортопедическая» без предъявления требований к стажу работы. В приложение № 3 к Порядку оказания медицинской помощи взрослому населению при стомато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логических заболеваниях, утвержденному приказом Министерства здравоохранения и социального развития Российской Федерации от 31.07.2020 № 786н, установлен стандарт оснащения стоматологической (зуботехнической) лаборатории. При намерении организовать зуботех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ническую лабораторию необходимо получение лицензии на осуществление медицинской деятельности на выполнение работ, оказание услуг: при оказании первичной доврачебной медико-санитарной помощи в амбулаторных условиях по: стоматологии ортопедической. Лицензиро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вание медицинской деятельности индивидуальных предпринимателей, организаций частной формы собственности, за исключением высокотехнологичной медицинской помощи, на территории Новосибирской области осуществляет министерство здравоохранения Новосибирской обла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сти. Перечень необходимых документов для получения лицензии, переоформления лицензии размещены на официальном Интернет-сайте министерства здравоохранения Новосибирской области: zdrav.nso.ru (раздел «государственные услуги», «лицензирование»).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____________________________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Вопрос: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соответствии с приказом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Минздрава России от 19.02.2021 № 116н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«Об утверждении Порядка оказания медицинской помощи взрослому населению при онкологических заболеваниях»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Центр амбулаторной онкологической помощи создается как структурное подразделение медицинской организации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 наличии в медицинской организации функционально и технологически объединенных: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рентген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овского отделения, включающего: кабинет общей рентгенодиагностики, кабинет рентгеновский маммографический, кабинет рентгеновской компьютерной томографии, организованных в соответствии с правилами проведения рентгенологических исследований. Приложение № 27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 Правилам проведения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рентгенологических исследований,</w:t>
      </w:r>
      <w: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утвержденным приказом</w:t>
      </w:r>
      <w: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Министерства здравоохранения</w:t>
      </w:r>
      <w: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Российской Федера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ции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 9 июня 202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0 г. № 560н,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Стандарт оснащения рентгеновского отделения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предусматривает наличие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Аппарата рентгеновского стационарного с функциями рентгеноскопии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количестве 2 штуки. В связи с изложенным прошу пояснить: является ли требование о наличии двух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рентгеновских стационарных аппаратов с функциями рентгеноскопии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обязательным при лицензировании?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</w:p>
    <w:p>
      <w:pPr>
        <w:ind w:firstLine="709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Ответ: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Ваше обращение на официальный сайт минис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терства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здравоохранения Российской Федерации о разъяснении применения требований по наличию и оснащению рентгенологического отделения в соответствии с Порядком оказания медицинской помощи взрослому населению при 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нкологических заболеваниях, поступившее в министерство здравоохранения Новосибирской области от Федеральной службы по надзору в сфере здравоохранения, сообщаем. В соответствии с положением о министерстве здравоохранения Новосибирской области (далее – минис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терство), утвержденном постановлением Правительства Новосибирской области от 09.11.2015 № 401-п, министерство не наделено полномочиями по предоставлению официального разъяснения законодательства Российской Федерации, а также практики его применения. Юридич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ескую силу имеют разъяснения органа государственной власти в случае, если данный орган наделен в соответствии с законодательством Российской Федерации специальной компетенцией - разъяснять применение положений нормативных правовых актов. По результатам рас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смотрения Вашего обращения сообщаем Вам следующую информацию. В перечень лицензионных требований, предъявляемых к соискателю лицензии на осуществление медицинской деятельности, установленных пунктом 5 Положения о лицензировании медицинской деятельности (за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«Сколково»), утвержденного постановлением Правительства Российской Феде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рации от 01.06.2021 № 852, входит оценка наличия принадлежащих соискателю лицензии на праве собственности или ином законном основании, предусматривающем право владения и пользования, медицинских изделий (оборудование, аппараты, приборы, инструменты), необх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одимых для выполнения заявленных работ (услуг) и зарегистрированных в порядке, предусмотренном частью 4 статьи 38 Федерального закона «Об основах охраны здоровья граждан в Российской Федерации»». Перечень необходимого оборудования по заявленным видам работ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(услуг) утвержден Порядками оказания медицинской помощи по соответствующим видам работ (услуг). Лицензия на осуществление медицинской деятельности на выполнение работ (услуг) по рентгенологии предоставляется как на рентгенологический кабинет, входящим в 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труктуру организации, оснащение которого должно соответствовать стандарту оснащения в зависимости от назначения кабинета (рентгеновской компьютерной томографии, рентгеновского мамографического и др.), так и на рентгенологическое отделение, входящим в стру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ктуру организации, оснащение которого соответствует перечню, приведенному в приложении № 27 к Правилам проведения рентгенологических исследований, утвержденным приказом Минздрава России от 09.06.2020 № 560н «Об утверждении Правил проведения рентгенологичес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ких исследований».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center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firstLine="709"/>
        <w:jc w:val="both"/>
        <w:spacing w:after="0" w:afterAutospacing="0" w:line="240" w:lineRule="auto"/>
        <w:rPr>
          <w:rFonts w:ascii="Times New Roman" w:hAnsi="Times New Roman" w:cs="Times New Roman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Вопрос: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Прошу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разъяснить какие требования к получению 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лицензии на осуществление медицинской деятельности предъявляются к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индивидуальным предпринимателем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для открытия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врачом-отоларингологом консультативного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кабинета приема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?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left="0" w:firstLine="747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firstLine="747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Ответ: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соответствии с пунктом 11 части 1 статьи 2  Федерального закона от 21.11.2011 № 323-ФЗ 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 основах охраны здоровья граждан в Российской Федерации»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требования к осуществлению медицинской деятельности, предъявляемые к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юридическим ли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цам независимо от организационно-правовой формы, осуществляющее в качестве основного (уставного) вида деятельности медицинскую деятельность, распространяются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иные юридические лица независимо от организационно-правовой формы, индивидуальных предпринимателей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осуществляющие наряду с основной (уставной) деятельностью медицинскую деятельность, и применяются к таким организациям 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части, касающейся медицинской деятельности.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firstLine="747"/>
        <w:jc w:val="both"/>
        <w:spacing w:after="0" w:afterAutospacing="0" w:line="240" w:lineRule="auto"/>
        <w:rPr>
          <w:rFonts w:ascii="Times New Roman" w:hAnsi="Times New Roman" w:cs="Times New Roman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</w:rPr>
        <w:t xml:space="preserve">Порядок оказания медицинской помощи населению по профилю «оториноларингология» утвержден 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</w:rPr>
        <w:t xml:space="preserve">приказом Министерства здравоохранения Российской Федерации от 12.11.2012 № 905н (далее – Порядок оказания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</w:rPr>
        <w:t xml:space="preserve"> медицинской помощи населению по профилю «оториноларингология»)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left="0" w:firstLine="747"/>
        <w:jc w:val="both"/>
        <w:spacing w:after="0" w:afterAutospacing="0" w:line="240" w:lineRule="auto"/>
        <w:rPr>
          <w:rFonts w:ascii="Times New Roman" w:hAnsi="Times New Roman" w:cs="Times New Roman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Согласно 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</w:rPr>
        <w:t xml:space="preserve">Правил 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</w:rPr>
        <w:t xml:space="preserve">организации деятельности оториноларингологического кабинета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</w:rPr>
        <w:t xml:space="preserve">медицинской организации, указанных в 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</w:rPr>
        <w:t xml:space="preserve">приложении № 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</w:rPr>
        <w:t xml:space="preserve">к Порядку оказания медицинской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</w:rPr>
        <w:t xml:space="preserve">помощи населению по профилю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</w:rPr>
        <w:t xml:space="preserve">«оториноларингология»,: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left="0" w:firstLine="747"/>
        <w:jc w:val="both"/>
        <w:spacing w:after="0" w:afterAutospacing="0" w:line="240" w:lineRule="auto"/>
        <w:rPr>
          <w:rFonts w:ascii="Times New Roman" w:hAnsi="Times New Roman" w:cs="Times New Roman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</w:rPr>
        <w:t xml:space="preserve"> оториноларингологический кабинет медицинской организации создается для осуществления консультативной, диагностической и лечебной помощи по профилю «оториноларингология»;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left="0" w:firstLine="747"/>
        <w:jc w:val="both"/>
        <w:spacing w:after="0" w:afterAutospacing="0" w:line="240" w:lineRule="auto"/>
        <w:rPr>
          <w:rFonts w:ascii="Times New Roman" w:hAnsi="Times New Roman" w:cs="Times New Roman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</w:rPr>
        <w:t xml:space="preserve">оснащение Кабинета осуществляется в соответствии со стандартом оснащения, предусмотренным приложением № 3 к Порядку оказания медицинской помощи населению по профилю «оториноларингология»;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left="0" w:firstLine="747"/>
        <w:jc w:val="both"/>
        <w:spacing w:after="0" w:afterAutospacing="0" w:line="240" w:lineRule="auto"/>
        <w:rPr>
          <w:rFonts w:ascii="Times New Roman" w:hAnsi="Times New Roman" w:cs="Times New Roman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</w:rPr>
        <w:t xml:space="preserve">Кабинет осуществляет следующие основные функции: оказание консультативной, диагностической и лечебной помощи больным с заболеваниями ЛОР-органов.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</w:rPr>
        <w:t xml:space="preserve"> Выполнение части функций при оказании медицинской помощи 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</w:rPr>
        <w:t xml:space="preserve">населению по профилю «оториноларингология»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</w:rPr>
        <w:t xml:space="preserve"> в кабинете не предусмотрено.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left="0" w:firstLine="709"/>
        <w:jc w:val="both"/>
        <w:spacing w:after="0" w:afterAutospacing="0" w:line="240" w:lineRule="auto"/>
        <w:rPr>
          <w:rFonts w:ascii="Times New Roman" w:hAnsi="Times New Roman" w:cs="Times New Roman"/>
          <w:highlight w:val="none"/>
        </w:rPr>
        <w:suppressLineNumbers w:val="0"/>
      </w:pPr>
      <w:r>
        <w:rPr>
          <w:rFonts w:ascii="Times New Roman" w:hAnsi="Times New Roman" w:eastAsia="Times New Roman" w:cs="Times New Roman" w:eastAsiaTheme="minorHAnsi"/>
          <w:sz w:val="28"/>
          <w:szCs w:val="28"/>
          <w:highlight w:val="none"/>
          <w:lang w:eastAsia="en-US"/>
        </w:rPr>
        <w:t xml:space="preserve">Л</w:t>
      </w:r>
      <w:r>
        <w:rPr>
          <w:rFonts w:ascii="Times New Roman" w:hAnsi="Times New Roman" w:eastAsia="Times New Roman" w:cs="Times New Roman" w:eastAsiaTheme="minorHAnsi"/>
          <w:sz w:val="28"/>
          <w:szCs w:val="28"/>
          <w:highlight w:val="none"/>
          <w:lang w:eastAsia="en-US"/>
        </w:rPr>
        <w:t xml:space="preserve">ицензионные требования</w:t>
      </w:r>
      <w:r>
        <w:rPr>
          <w:rFonts w:ascii="Times New Roman" w:hAnsi="Times New Roman" w:eastAsia="Times New Roman" w:cs="Times New Roman" w:eastAsiaTheme="minorHAnsi"/>
          <w:bCs/>
          <w:iCs/>
          <w:sz w:val="28"/>
          <w:szCs w:val="28"/>
          <w:highlight w:val="none"/>
          <w:lang w:eastAsia="en-US"/>
        </w:rPr>
        <w:t xml:space="preserve">, предъявл</w:t>
      </w:r>
      <w:r>
        <w:rPr>
          <w:rFonts w:ascii="Times New Roman" w:hAnsi="Times New Roman" w:eastAsia="Times New Roman" w:cs="Times New Roman" w:eastAsiaTheme="minorHAnsi"/>
          <w:bCs/>
          <w:iCs/>
          <w:sz w:val="28"/>
          <w:szCs w:val="28"/>
          <w:highlight w:val="none"/>
          <w:lang w:eastAsia="en-US"/>
        </w:rPr>
        <w:t xml:space="preserve">яемые к соискателю лицензии на осуществление медицинской деятельности</w:t>
      </w:r>
      <w:r>
        <w:rPr>
          <w:rFonts w:ascii="Times New Roman" w:hAnsi="Times New Roman" w:eastAsia="Times New Roman" w:cs="Times New Roman" w:eastAsiaTheme="minorHAnsi"/>
          <w:bCs/>
          <w:iCs/>
          <w:sz w:val="28"/>
          <w:szCs w:val="28"/>
          <w:highlight w:val="none"/>
          <w:lang w:eastAsia="en-US"/>
        </w:rPr>
        <w:t xml:space="preserve">, указаны в пункте 5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Положения о лицензировании медицинской деятельности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утвержденного </w:t>
      </w:r>
      <w:r>
        <w:rPr>
          <w:rFonts w:ascii="Times New Roman" w:hAnsi="Times New Roman" w:eastAsia="Times New Roman" w:cs="Times New Roman" w:eastAsiaTheme="minorHAnsi"/>
          <w:sz w:val="28"/>
          <w:szCs w:val="28"/>
          <w:highlight w:val="none"/>
          <w:lang w:eastAsia="en-US"/>
        </w:rPr>
        <w:t xml:space="preserve">постановлением Правительства Российской Федерации от 01.06.2021 № 852</w:t>
      </w:r>
      <w:r>
        <w:rPr>
          <w:rFonts w:ascii="Times New Roman" w:hAnsi="Times New Roman" w:eastAsia="Times New Roman" w:cs="Times New Roman" w:eastAsiaTheme="minorHAnsi"/>
          <w:sz w:val="28"/>
          <w:szCs w:val="28"/>
          <w:highlight w:val="none"/>
          <w:lang w:eastAsia="en-US"/>
        </w:rPr>
        <w:t xml:space="preserve">.</w:t>
      </w:r>
      <w:r>
        <w:rPr>
          <w:rFonts w:ascii="Times New Roman" w:hAnsi="Times New Roman" w:eastAsia="Times New Roman" w:cs="Times New Roman" w:eastAsiaTheme="minorHAnsi"/>
          <w:sz w:val="28"/>
          <w:szCs w:val="28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left="0" w:firstLine="709"/>
        <w:jc w:val="both"/>
        <w:spacing w:after="0" w:afterAutospacing="0" w:line="240" w:lineRule="auto"/>
        <w:rPr>
          <w:rFonts w:ascii="Times New Roman" w:hAnsi="Times New Roman" w:cs="Times New Roman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Лицензирование медицинской деятельности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индивидуальных предпринимателей,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организаций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частной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собственности, за исключением высокотехнологичной медицинской помощи, на территории Новосибирской области осуществляет министерство здравоохранения Новосибирской области.      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lef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Форма заявления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 перечень необходимых документов для получения лицензии размещены на официальном Интернет-сайте министерства здр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авоохранения Новосибирской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области: </w:t>
      </w:r>
      <w:hyperlink w:history="1">
        <w:r>
          <w:rPr>
            <w:rStyle w:val="812"/>
            <w:rFonts w:ascii="Times New Roman" w:hAnsi="Times New Roman" w:eastAsia="Times New Roman" w:cs="Times New Roman"/>
            <w:color w:val="auto"/>
            <w:sz w:val="28"/>
            <w:szCs w:val="28"/>
            <w:highlight w:val="none"/>
            <w:u w:val="none"/>
          </w:rPr>
          <w:t xml:space="preserve">zdrav.nso.ru (раздел «государственные услуги», «лицензирование»).</w:t>
        </w:r>
      </w:hyperlink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_______________________________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964" w:right="567" w:bottom="964" w:left="141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www.gosuslugi.ru/600309/1/form" TargetMode="External"/><Relationship Id="rId10" Type="http://schemas.openxmlformats.org/officeDocument/2006/relationships/hyperlink" Target="http://www.roszdravnadzor.gov.ru/services/licenses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2024-12-12T03:21:38Z</dcterms:modified>
</cp:coreProperties>
</file>